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USE OF A CHEMICAL WEAPON</w:t>
        <w:br/>
      </w:r>
      <w:r>
        <w:rPr>
          <w:rFonts w:ascii="Arial" w:hAnsi="Arial" w:eastAsia="Arial"/>
          <w:b w:val="true"/>
          <w:strike w:val="false"/>
          <w:color w:val="000000"/>
          <w:spacing w:val="0"/>
          <w:w w:val="100"/>
          <w:sz w:val="28"/>
          <w:vertAlign w:val="baseline"/>
          <w:lang w:val="en-US"/>
        </w:rPr>
        <w:t xml:space="preserve">OR BIOLOGICAL WEAPON IN THE THIRD DEGREE</w:t>
        <w:br/>
      </w:r>
      <w:r>
        <w:rPr>
          <w:rFonts w:ascii="Arial" w:hAnsi="Arial" w:eastAsia="Arial"/>
          <w:b w:val="true"/>
          <w:strike w:val="false"/>
          <w:color w:val="000000"/>
          <w:spacing w:val="0"/>
          <w:w w:val="100"/>
          <w:sz w:val="28"/>
          <w:vertAlign w:val="baseline"/>
          <w:lang w:val="en-US"/>
        </w:rPr>
        <w:t xml:space="preserve">Penal Law § 490.47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Use of a Chemical Weapon or Biological Weapon in the Third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Use of a Chemical Weapon or Biological Weapon in the Third Degree when, under circumstances evincing a depraved indifference to human life, he or she uses, deploys, releases, or causes to be used, deployed, or released</w:t>
      </w:r>
    </w:p>
    <w:p>
      <w:pPr>
        <w:pageBreakBefore w:val="false"/>
        <w:spacing w:before="330" w:after="0"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21" w:after="0" w:line="32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select chemical agent, [or]</w:t>
        <w:br/>
      </w:r>
      <w:r>
        <w:rPr>
          <w:rFonts w:ascii="Arial" w:hAnsi="Arial" w:eastAsia="Arial"/>
          <w:strike w:val="false"/>
          <w:color w:val="000000"/>
          <w:spacing w:val="0"/>
          <w:w w:val="100"/>
          <w:sz w:val="28"/>
          <w:vertAlign w:val="baseline"/>
          <w:lang w:val="en-US"/>
        </w:rPr>
        <w:t xml:space="preserve">any select biological agent</w:t>
      </w:r>
    </w:p>
    <w:p>
      <w:pPr>
        <w:pageBreakBefore w:val="false"/>
        <w:spacing w:before="317"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thereby creates a grave risk of death or serious physical injury to another person not a participant in the crime.</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4"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CHEMICAL AGENT means an identified chemical 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w:t>
      </w:r>
    </w:p>
    <w:p>
      <w:pPr>
        <w:pageBreakBefore w:val="false"/>
        <w:spacing w:before="333" w:after="1565" w:line="318" w:lineRule="exact"/>
        <w:ind w:right="0" w:left="720" w:firstLine="0"/>
        <w:jc w:val="both"/>
        <w:textAlignment w:val="baseline"/>
        <w:rPr>
          <w:rFonts w:ascii="Arial" w:hAnsi="Arial" w:eastAsia="Arial"/>
          <w:strike w:val="false"/>
          <w:color w:val="000000"/>
          <w:spacing w:val="12"/>
          <w:w w:val="100"/>
          <w:sz w:val="28"/>
          <w:vertAlign w:val="baseline"/>
          <w:lang w:val="en-US"/>
        </w:rPr>
      </w:pPr>
      <w:r>
        <w:rPr>
          <w:rFonts w:ascii="Arial" w:hAnsi="Arial" w:eastAsia="Arial"/>
          <w:strike w:val="false"/>
          <w:color w:val="000000"/>
          <w:spacing w:val="12"/>
          <w:w w:val="100"/>
          <w:sz w:val="28"/>
          <w:vertAlign w:val="baseline"/>
          <w:lang w:val="en-US"/>
        </w:rPr>
        <w:t xml:space="preserve">[SELECT BIOLOGICAL AGENT means an identified</w:t>
      </w:r>
    </w:p>
    <w:p>
      <w:pPr>
        <w:pageBreakBefore w:val="false"/>
        <w:spacing w:before="253" w:after="0" w:line="277"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pict>
          <v:line strokeweight="0.95pt" strokecolor="#000000" from="108pt,638.9pt" to="252.05pt,638.9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3"/>
          <w:vertAlign w:val="superscript"/>
          <w:lang w:val="en-US"/>
        </w:rPr>
        <w:t xml:space="preserve">1</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490.05(15) which refers to “a chemical weapon which has been identified in regulations promulgated pursuant to subdivision twenty of section two hundred six of the public health law.” If “chemical weapon” is at issue, the charge should be expanded by adding the applicable definition set forth in Penal Law § 490.05(10).</w:t>
      </w:r>
    </w:p>
    <w:p>
      <w:pPr>
        <w:sectPr>
          <w:type w:val="nextPage"/>
          <w:pgSz w:w="12240" w:h="15840" w:orient="portrait"/>
          <w:pgMar w:bottom="1024" w:top="1440" w:right="2140" w:left="2160" w:header="720" w:footer="0"/>
          <w:titlePg w:val="false"/>
          <w:textDirection w:val="lrTb"/>
        </w:sectPr>
      </w:pPr>
    </w:p>
    <w:p>
      <w:pPr>
        <w:pageBreakBefore w:val="false"/>
        <w:spacing w:before="243" w:after="0" w:line="325" w:lineRule="exact"/>
        <w:ind w:right="0" w:left="0" w:firstLine="0"/>
        <w:jc w:val="left"/>
        <w:textAlignment w:val="baseline"/>
        <w:rPr>
          <w:rFonts w:ascii="Arial" w:hAnsi="Arial" w:eastAsia="Arial"/>
          <w:strike w:val="false"/>
          <w:color w:val="000000"/>
          <w:spacing w:val="-1"/>
          <w:w w:val="100"/>
          <w:sz w:val="28"/>
          <w:vertAlign w:val="baseline"/>
          <w:lang w:val="en-US"/>
        </w:rPr>
      </w:pPr>
      <w:r>
        <w:pict>
          <v:line strokeweight="1.2pt" strokecolor="#000000" from="107.65pt,450.25pt" to="252.05pt,450.25pt" style="position:absolute;mso-position-horizontal-relative:page;mso-position-vertical-relative:page;">
            <v:stroke dashstyle="solid"/>
          </v:line>
        </w:pict>
      </w:r>
      <w:r>
        <w:rPr>
          <w:rFonts w:ascii="Arial" w:hAnsi="Arial" w:eastAsia="Arial"/>
          <w:strike w:val="false"/>
          <w:color w:val="000000"/>
          <w:spacing w:val="-1"/>
          <w:w w:val="100"/>
          <w:sz w:val="28"/>
          <w:vertAlign w:val="baseline"/>
          <w:lang w:val="en-US"/>
        </w:rPr>
        <w:t xml:space="preserve">biological weapon, including </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superscript"/>
          <w:lang w:val="en-US"/>
        </w:rPr>
        <w:t xml:space="preserve"> 2</w:t>
      </w:r>
      <w:r>
        <w:rPr>
          <w:rFonts w:ascii="Arial" w:hAnsi="Arial" w:eastAsia="Arial"/>
          <w:strike w:val="false"/>
          <w:color w:val="000000"/>
          <w:spacing w:val="-1"/>
          <w:w w:val="100"/>
          <w:sz w:val="28"/>
          <w:vertAlign w:val="superscript"/>
          <w:lang w:val="en-US"/>
        </w:rPr>
        <w:t xml:space="preserve">]</w:t>
      </w:r>
      <w:r>
        <w:rPr>
          <w:rFonts w:ascii="Arial" w:hAnsi="Arial" w:eastAsia="Arial"/>
          <w:strike w:val="false"/>
          <w:color w:val="000000"/>
          <w:spacing w:val="-1"/>
          <w:w w:val="100"/>
          <w:sz w:val="28"/>
          <w:vertAlign w:val="baseline"/>
          <w:lang w:val="en-US"/>
        </w:rPr>
        <w:t xml:space="preserve">
</w:t>
      </w:r>
    </w:p>
    <w:p>
      <w:pPr>
        <w:pageBreakBefore w:val="false"/>
        <w:spacing w:before="310"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DEPRAVED INDIFFERENCE TO HUMAN LIFE refers to a person’s state of mind. A person has a depraved indifference to human life when that person has an utter disregard for the value of human life – a willingness to act, not because he or she means to cause grievous harm, but because he or she simply does not care whether or not grievous harm will result.</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28"/>
          <w:vertAlign w:val="baseline"/>
          <w:lang w:val="en-US"/>
        </w:rPr>
        <w:t xml:space="preserve"> Depraved indifference to human life reflects a wicked, evil or inhuman state of mind, as manifested by brutal, heinous and despicable acts. It is evinced by conduct that is wanton, deficient in a moral sense of concern, and devoid of regard for the life or lives of others.</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27" w:after="0" w:line="32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Add if appropriate:</w:t>
      </w:r>
    </w:p>
    <w:p>
      <w:pPr>
        <w:pageBreakBefore w:val="false"/>
        <w:spacing w:before="0" w:after="1710" w:line="323"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In determining whether the defendant acted with depraved indifference to human life, you may consider whether the defendant’s mind was affected by intoxicants to such a degree that he was incapable of forming the mental state of depraved</w:t>
      </w:r>
    </w:p>
    <w:p>
      <w:pPr>
        <w:pageBreakBefore w:val="false"/>
        <w:spacing w:before="258" w:after="0" w:line="276"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490.05(16) which refers to “a biological weapon which has been identified in regulations promulgated pursuant to subdivision twenty-one of section two hundred six of the public health law.” If “biological weapon” is at issue, the charge should be expanded by adding the applicable definition set forth in Penal Law § 490.05(9).</w:t>
      </w:r>
    </w:p>
    <w:p>
      <w:pPr>
        <w:pageBreakBefore w:val="false"/>
        <w:tabs>
          <w:tab w:val="right" w:leader="none" w:pos="7920"/>
        </w:tabs>
        <w:spacing w:before="240" w:after="0" w:line="276"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3</w:t>
      </w: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"...'depraved indifference is best understood as an utter disregard for the</w:t>
      </w:r>
    </w:p>
    <w:p>
      <w:pPr>
        <w:pageBreakBefore w:val="false"/>
        <w:spacing w:before="3" w:after="0" w:line="276"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value of human life– a willingness to act not because one intends harm, but because one simply doesn't care whether grievous harm results or not'" (</w:t>
      </w:r>
      <w:r>
        <w:rPr>
          <w:rFonts w:ascii="Arial" w:hAnsi="Arial" w:eastAsia="Arial"/>
          <w:i w:val="true"/>
          <w:strike w:val="false"/>
          <w:color w:val="000000"/>
          <w:spacing w:val="0"/>
          <w:w w:val="100"/>
          <w:sz w:val="24"/>
          <w:vertAlign w:val="baseline"/>
          <w:lang w:val="en-US"/>
        </w:rPr>
        <w:t xml:space="preserve">Feingold </w:t>
      </w:r>
      <w:r>
        <w:rPr>
          <w:rFonts w:ascii="Arial" w:hAnsi="Arial" w:eastAsia="Arial"/>
          <w:strike w:val="false"/>
          <w:color w:val="000000"/>
          <w:spacing w:val="0"/>
          <w:w w:val="100"/>
          <w:sz w:val="24"/>
          <w:vertAlign w:val="baseline"/>
          <w:lang w:val="en-US"/>
        </w:rPr>
        <w:t xml:space="preserve">at 296, quoting </w:t>
      </w:r>
      <w:r>
        <w:rPr>
          <w:rFonts w:ascii="Arial" w:hAnsi="Arial" w:eastAsia="Arial"/>
          <w:i w:val="true"/>
          <w:strike w:val="false"/>
          <w:color w:val="000000"/>
          <w:spacing w:val="0"/>
          <w:w w:val="100"/>
          <w:sz w:val="24"/>
          <w:vertAlign w:val="baseline"/>
          <w:lang w:val="en-US"/>
        </w:rPr>
        <w:t xml:space="preserve">Suarez</w:t>
      </w:r>
      <w:r>
        <w:rPr>
          <w:rFonts w:ascii="Arial" w:hAnsi="Arial" w:eastAsia="Arial"/>
          <w:strike w:val="false"/>
          <w:color w:val="000000"/>
          <w:spacing w:val="0"/>
          <w:w w:val="100"/>
          <w:sz w:val="24"/>
          <w:vertAlign w:val="baseline"/>
          <w:lang w:val="en-US"/>
        </w:rPr>
        <w:t xml:space="preserve">, 6 N.Y.3d at 214).</w:t>
      </w:r>
    </w:p>
    <w:p>
      <w:pPr>
        <w:pageBreakBefore w:val="false"/>
        <w:spacing w:before="250" w:after="0" w:line="276"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4</w:t>
      </w:r>
      <w:r>
        <w:rPr>
          <w:rFonts w:ascii="Arial" w:hAnsi="Arial" w:eastAsia="Arial"/>
          <w:strike w:val="false"/>
          <w:color w:val="000000"/>
          <w:spacing w:val="-3"/>
          <w:w w:val="100"/>
          <w:sz w:val="24"/>
          <w:vertAlign w:val="baseline"/>
          <w:lang w:val="en-US"/>
        </w:rPr>
        <w:t xml:space="preserve"> “Reflecting wickedness, evil or inhumanity, as manifested by brutal, heinous and despicable acts, depraved indifference is embodied in conduct that is ‘so wanton, so deficient in a moral sense of concern, so devoid of regard of the life or lives of others, and so blameworthy’ as to render the actor as culpable as one whose conscious objective is to kill” (</w:t>
      </w:r>
      <w:r>
        <w:rPr>
          <w:rFonts w:ascii="Arial" w:hAnsi="Arial" w:eastAsia="Arial"/>
          <w:i w:val="true"/>
          <w:strike w:val="false"/>
          <w:color w:val="000000"/>
          <w:spacing w:val="-3"/>
          <w:w w:val="100"/>
          <w:sz w:val="24"/>
          <w:vertAlign w:val="baseline"/>
          <w:lang w:val="en-US"/>
        </w:rPr>
        <w:t xml:space="preserve">Suarez, </w:t>
      </w:r>
      <w:r>
        <w:rPr>
          <w:rFonts w:ascii="Arial" w:hAnsi="Arial" w:eastAsia="Arial"/>
          <w:strike w:val="false"/>
          <w:color w:val="000000"/>
          <w:spacing w:val="-3"/>
          <w:w w:val="100"/>
          <w:sz w:val="24"/>
          <w:vertAlign w:val="baseline"/>
          <w:lang w:val="en-US"/>
        </w:rPr>
        <w:t xml:space="preserve">6 N.Y.3d at 214 quoting </w:t>
      </w:r>
      <w:r>
        <w:rPr>
          <w:rFonts w:ascii="Arial" w:hAnsi="Arial" w:eastAsia="Arial"/>
          <w:i w:val="true"/>
          <w:strike w:val="false"/>
          <w:color w:val="000000"/>
          <w:spacing w:val="-3"/>
          <w:w w:val="100"/>
          <w:sz w:val="24"/>
          <w:vertAlign w:val="baseline"/>
          <w:lang w:val="en-US"/>
        </w:rPr>
        <w:t xml:space="preserve">People v Russell, </w:t>
      </w:r>
      <w:r>
        <w:rPr>
          <w:rFonts w:ascii="Arial" w:hAnsi="Arial" w:eastAsia="Arial"/>
          <w:strike w:val="false"/>
          <w:color w:val="000000"/>
          <w:spacing w:val="-3"/>
          <w:w w:val="100"/>
          <w:sz w:val="24"/>
          <w:vertAlign w:val="baseline"/>
          <w:lang w:val="en-US"/>
        </w:rPr>
        <w:t xml:space="preserve">91 NY2d 280, 287 (1998)).</w:t>
      </w:r>
    </w:p>
    <w:p>
      <w:pPr>
        <w:sectPr>
          <w:footerReference w:type="default" r:id="fId0"/>
          <w:type w:val="nextPage"/>
          <w:pgSz w:w="12240" w:h="15840" w:orient="portrait"/>
          <w:pgMar w:bottom="1313" w:top="1200" w:right="2147" w:left="2153" w:header="720" w:footer="1493"/>
          <w:titlePg w:val="false"/>
          <w:textDirection w:val="lrTb"/>
        </w:sectPr>
      </w:pPr>
    </w:p>
    <w:p>
      <w:pPr>
        <w:pageBreakBefore w:val="false"/>
        <w:spacing w:before="43" w:after="0" w:line="316"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indifference to human life.</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28"/>
          <w:vertAlign w:val="baseline"/>
          <w:lang w:val="en-US"/>
        </w:rPr>
        <w:t xml:space="preserve">]</w:t>
      </w:r>
    </w:p>
    <w:p>
      <w:pPr>
        <w:pageBreakBefore w:val="false"/>
        <w:spacing w:before="33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7" w:after="0" w:line="316"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w:t>
      </w:r>
      <w:r>
        <w:rPr>
          <w:rFonts w:ascii="Arial" w:hAnsi="Arial" w:eastAsia="Arial"/>
          <w:i w:val="true"/>
          <w:strike w:val="false"/>
          <w:color w:val="000000"/>
          <w:spacing w:val="-5"/>
          <w:w w:val="100"/>
          <w:sz w:val="23"/>
          <w:u w:val="single"/>
          <w:vertAlign w:val="baseline"/>
          <w:lang w:val="en-US"/>
        </w:rPr>
        <w:t xml:space="preserve"> (date) </w:t>
      </w:r>
      <w:r>
        <w:rPr>
          <w:rFonts w:ascii="Arial" w:hAnsi="Arial" w:eastAsia="Arial"/>
          <w:strike w:val="false"/>
          <w:color w:val="000000"/>
          <w:spacing w:val="-5"/>
          <w:w w:val="100"/>
          <w:sz w:val="28"/>
          <w:vertAlign w:val="baseline"/>
          <w:lang w:val="en-US"/>
        </w:rPr>
        <w:t xml:space="preserve"> , in the county of </w:t>
      </w:r>
      <w:r>
        <w:rPr>
          <w:rFonts w:ascii="Arial" w:hAnsi="Arial" w:eastAsia="Arial"/>
          <w:i w:val="true"/>
          <w:strike w:val="false"/>
          <w:color w:val="000000"/>
          <w:spacing w:val="-5"/>
          <w:w w:val="100"/>
          <w:sz w:val="23"/>
          <w:u w:val="single"/>
          <w:vertAlign w:val="baseline"/>
          <w:lang w:val="en-US"/>
        </w:rPr>
        <w:t xml:space="preserve"> (county) </w:t>
      </w:r>
      <w:r>
        <w:rPr>
          <w:rFonts w:ascii="Arial" w:hAnsi="Arial" w:eastAsia="Arial"/>
          <w:strike w:val="false"/>
          <w:color w:val="000000"/>
          <w:spacing w:val="-5"/>
          <w:w w:val="100"/>
          <w:sz w:val="28"/>
          <w:vertAlign w:val="baseline"/>
          <w:lang w:val="en-US"/>
        </w:rPr>
        <w:t xml:space="preserve"> , the</w:t>
      </w:r>
    </w:p>
    <w:p>
      <w:pPr>
        <w:pageBreakBefore w:val="false"/>
        <w:tabs>
          <w:tab w:val="right" w:leader="none" w:pos="7920"/>
        </w:tabs>
        <w:spacing w:before="1" w:after="0" w:line="321" w:lineRule="exact"/>
        <w:ind w:right="0" w:left="144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defendant, </w:t>
      </w:r>
      <w:r>
        <w:rPr>
          <w:rFonts w:ascii="Arial" w:hAnsi="Arial" w:eastAsia="Arial"/>
          <w:i w:val="true"/>
          <w:strike w:val="false"/>
          <w:color w:val="000000"/>
          <w:spacing w:val="-5"/>
          <w:w w:val="100"/>
          <w:sz w:val="23"/>
          <w:u w:val="single"/>
          <w:vertAlign w:val="baseline"/>
          <w:lang w:val="en-US"/>
        </w:rPr>
        <w:t xml:space="preserve"> (defendant's name)</w:t>
      </w:r>
      <w:r>
        <w:rPr>
          <w:rFonts w:ascii="Arial" w:hAnsi="Arial" w:eastAsia="Arial"/>
          <w:strike w:val="false"/>
          <w:color w:val="000000"/>
          <w:spacing w:val="-5"/>
          <w:w w:val="100"/>
          <w:sz w:val="28"/>
          <w:vertAlign w:val="baseline"/>
          <w:lang w:val="en-US"/>
        </w:rPr>
        <w:tab/>
      </w:r>
      <w:r>
        <w:rPr>
          <w:rFonts w:ascii="Arial" w:hAnsi="Arial" w:eastAsia="Arial"/>
          <w:strike w:val="false"/>
          <w:color w:val="000000"/>
          <w:spacing w:val="-5"/>
          <w:w w:val="100"/>
          <w:sz w:val="28"/>
          <w:vertAlign w:val="baseline"/>
          <w:lang w:val="en-US"/>
        </w:rPr>
        <w:t xml:space="preserve">used, deployed,</w:t>
        <w:br/>
      </w:r>
      <w:r>
        <w:rPr>
          <w:rFonts w:ascii="Arial" w:hAnsi="Arial" w:eastAsia="Arial"/>
          <w:strike w:val="false"/>
          <w:color w:val="000000"/>
          <w:spacing w:val="-5"/>
          <w:w w:val="100"/>
          <w:sz w:val="28"/>
          <w:vertAlign w:val="baseline"/>
          <w:lang w:val="en-US"/>
        </w:rPr>
        <w:t xml:space="preserve">released, or caused to be used, deployed, or released</w:t>
      </w:r>
    </w:p>
    <w:p>
      <w:pPr>
        <w:pageBreakBefore w:val="false"/>
        <w:spacing w:before="337" w:after="0" w:line="318"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14"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select chemical agent, or</w:t>
        <w:br/>
      </w:r>
      <w:r>
        <w:rPr>
          <w:rFonts w:ascii="Arial" w:hAnsi="Arial" w:eastAsia="Arial"/>
          <w:strike w:val="false"/>
          <w:color w:val="000000"/>
          <w:spacing w:val="0"/>
          <w:w w:val="100"/>
          <w:sz w:val="28"/>
          <w:vertAlign w:val="baseline"/>
          <w:lang w:val="en-US"/>
        </w:rPr>
        <w:t xml:space="preserve">any select biological agent;</w:t>
      </w:r>
    </w:p>
    <w:p>
      <w:pPr>
        <w:pageBreakBefore w:val="false"/>
        <w:numPr>
          <w:ilvl w:val="0"/>
          <w:numId w:val="1"/>
        </w:numPr>
        <w:tabs>
          <w:tab w:val="clear" w:pos="720"/>
          <w:tab w:val="left" w:pos="1440"/>
        </w:tabs>
        <w:spacing w:before="332" w:after="385" w:line="316" w:lineRule="exact"/>
        <w:ind w:right="0" w:left="720" w:firstLine="0"/>
        <w:jc w:val="left"/>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That the defendant did so under circumstances</w:t>
      </w:r>
    </w:p>
    <w:p>
      <w:pPr>
        <w:pageBreakBefore w:val="false"/>
        <w:spacing w:before="247" w:after="0" w:line="277" w:lineRule="exact"/>
        <w:ind w:right="0" w:left="0" w:firstLine="0"/>
        <w:jc w:val="both"/>
        <w:textAlignment w:val="baseline"/>
        <w:rPr>
          <w:rFonts w:ascii="Times New Roman" w:hAnsi="Times New Roman" w:eastAsia="Times New Roman"/>
          <w:strike w:val="false"/>
          <w:color w:val="000000"/>
          <w:spacing w:val="-1"/>
          <w:w w:val="100"/>
          <w:sz w:val="13"/>
          <w:vertAlign w:val="superscript"/>
          <w:lang w:val="en-US"/>
        </w:rPr>
      </w:pPr>
      <w:r>
        <w:pict>
          <v:line strokeweight="0.95pt" strokecolor="#000000" from="108pt,448.55pt" to="252.05pt,448.5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3"/>
          <w:vertAlign w:val="superscript"/>
          <w:lang w:val="en-US"/>
        </w:rPr>
        <w:t xml:space="preserve">5</w:t>
      </w:r>
      <w:r>
        <w:rPr>
          <w:rFonts w:ascii="Arial" w:hAnsi="Arial" w:eastAsia="Arial"/>
          <w:strike w:val="false"/>
          <w:color w:val="000000"/>
          <w:spacing w:val="-1"/>
          <w:w w:val="100"/>
          <w:sz w:val="24"/>
          <w:vertAlign w:val="baseline"/>
          <w:lang w:val="en-US"/>
        </w:rPr>
        <w:t xml:space="preserve"> Penal Law § 15.25 provides that “Intoxication is not, as such, a defense to a criminal charge; but in any prosecution for an offense, evidence of intoxication of the defendant may be offered by the defendant whenever it is relevant to negative an element of the crime charged.” In </w:t>
      </w:r>
      <w:r>
        <w:rPr>
          <w:rFonts w:ascii="Arial" w:hAnsi="Arial" w:eastAsia="Arial"/>
          <w:i w:val="true"/>
          <w:strike w:val="false"/>
          <w:color w:val="000000"/>
          <w:spacing w:val="-1"/>
          <w:w w:val="100"/>
          <w:sz w:val="24"/>
          <w:vertAlign w:val="baseline"/>
          <w:lang w:val="en-US"/>
        </w:rPr>
        <w:t xml:space="preserve">Register</w:t>
      </w:r>
      <w:r>
        <w:rPr>
          <w:rFonts w:ascii="Arial" w:hAnsi="Arial" w:eastAsia="Arial"/>
          <w:strike w:val="false"/>
          <w:color w:val="000000"/>
          <w:spacing w:val="-1"/>
          <w:w w:val="100"/>
          <w:sz w:val="24"/>
          <w:vertAlign w:val="baseline"/>
          <w:lang w:val="en-US"/>
        </w:rPr>
        <w:t xml:space="preserve">, the Court of Appeals held that “depraved indifference to human life” was not a culpable mental state, that “it is not an element in the traditional sense but rather a definition of the factual setting in which the risk creating conduct must occur – objective circumstances which are not subject to being negatived by evidence of defendant’s intoxication” (60 N.Y.2d at 276). </w:t>
      </w:r>
      <w:r>
        <w:rPr>
          <w:rFonts w:ascii="Arial" w:hAnsi="Arial" w:eastAsia="Arial"/>
          <w:i w:val="true"/>
          <w:strike w:val="false"/>
          <w:color w:val="000000"/>
          <w:spacing w:val="-1"/>
          <w:w w:val="100"/>
          <w:sz w:val="24"/>
          <w:vertAlign w:val="baseline"/>
          <w:lang w:val="en-US"/>
        </w:rPr>
        <w:t xml:space="preserve">Feingold</w:t>
      </w:r>
      <w:r>
        <w:rPr>
          <w:rFonts w:ascii="Arial" w:hAnsi="Arial" w:eastAsia="Arial"/>
          <w:strike w:val="false"/>
          <w:color w:val="000000"/>
          <w:spacing w:val="-1"/>
          <w:w w:val="100"/>
          <w:sz w:val="24"/>
          <w:vertAlign w:val="baseline"/>
          <w:lang w:val="en-US"/>
        </w:rPr>
        <w:t xml:space="preserve">, however, overruled </w:t>
      </w:r>
      <w:r>
        <w:rPr>
          <w:rFonts w:ascii="Arial" w:hAnsi="Arial" w:eastAsia="Arial"/>
          <w:i w:val="true"/>
          <w:strike w:val="false"/>
          <w:color w:val="000000"/>
          <w:spacing w:val="-1"/>
          <w:w w:val="100"/>
          <w:sz w:val="24"/>
          <w:vertAlign w:val="baseline"/>
          <w:lang w:val="en-US"/>
        </w:rPr>
        <w:t xml:space="preserve">Register</w:t>
      </w:r>
      <w:r>
        <w:rPr>
          <w:rFonts w:ascii="Arial" w:hAnsi="Arial" w:eastAsia="Arial"/>
          <w:strike w:val="false"/>
          <w:color w:val="000000"/>
          <w:spacing w:val="-1"/>
          <w:w w:val="100"/>
          <w:sz w:val="24"/>
          <w:vertAlign w:val="baseline"/>
          <w:lang w:val="en-US"/>
        </w:rPr>
        <w:t xml:space="preserve">, and held that “depraved indifference to human life is a culpable mental state” (7 N.Y.3d at 294). Thereafter, in </w:t>
      </w:r>
      <w:r>
        <w:rPr>
          <w:rFonts w:ascii="Arial" w:hAnsi="Arial" w:eastAsia="Arial"/>
          <w:i w:val="true"/>
          <w:strike w:val="false"/>
          <w:color w:val="000000"/>
          <w:spacing w:val="-1"/>
          <w:w w:val="100"/>
          <w:sz w:val="24"/>
          <w:vertAlign w:val="baseline"/>
          <w:lang w:val="en-US"/>
        </w:rPr>
        <w:t xml:space="preserve">People v Coon</w:t>
      </w:r>
      <w:r>
        <w:rPr>
          <w:rFonts w:ascii="Arial" w:hAnsi="Arial" w:eastAsia="Arial"/>
          <w:strike w:val="false"/>
          <w:color w:val="000000"/>
          <w:spacing w:val="-1"/>
          <w:w w:val="100"/>
          <w:sz w:val="24"/>
          <w:vertAlign w:val="baseline"/>
          <w:lang w:val="en-US"/>
        </w:rPr>
        <w:t xml:space="preserve">, 34 A.D.3d 869 (3d Dept. 2006), the Court noted that the defendant’s level of intoxication by his voluntary use of crack cocaine made him “incapable of possessing the culpable mental state necessary to prove depraved indifference.”</w:t>
      </w:r>
    </w:p>
    <w:p>
      <w:pPr>
        <w:pageBreakBefore w:val="false"/>
        <w:spacing w:before="240" w:after="0" w:line="277" w:lineRule="exact"/>
        <w:ind w:right="0" w:left="0"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6</w:t>
      </w:r>
      <w:r>
        <w:rPr>
          <w:rFonts w:ascii="Arial" w:hAnsi="Arial" w:eastAsia="Arial"/>
          <w:i w:val="true"/>
          <w:strike w:val="false"/>
          <w:color w:val="000000"/>
          <w:spacing w:val="2"/>
          <w:w w:val="100"/>
          <w:sz w:val="24"/>
          <w:vertAlign w:val="baseline"/>
          <w:lang w:val="en-US"/>
        </w:rPr>
        <w:t xml:space="preserve"> See </w:t>
      </w:r>
      <w:r>
        <w:rPr>
          <w:rFonts w:ascii="Arial" w:hAnsi="Arial" w:eastAsia="Arial"/>
          <w:strike w:val="false"/>
          <w:color w:val="000000"/>
          <w:spacing w:val="2"/>
          <w:w w:val="100"/>
          <w:sz w:val="24"/>
          <w:vertAlign w:val="baseline"/>
          <w:lang w:val="en-US"/>
        </w:rPr>
        <w:t xml:space="preserve">Penal Law § 10.00(10).</w:t>
      </w:r>
    </w:p>
    <w:p>
      <w:pPr>
        <w:sectPr>
          <w:type w:val="nextPage"/>
          <w:pgSz w:w="12240" w:h="15840" w:orient="portrait"/>
          <w:pgMar w:bottom="1307" w:top="1400" w:right="2140" w:left="2160" w:header="720" w:footer="1488"/>
          <w:titlePg w:val="false"/>
          <w:textDirection w:val="lrTb"/>
        </w:sectPr>
      </w:pPr>
    </w:p>
    <w:p>
      <w:pPr>
        <w:pageBreakBefore w:val="false"/>
        <w:spacing w:before="8" w:after="321" w:line="319"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evincing a depraved indifference to human life; and</w:t>
      </w:r>
    </w:p>
    <w:p>
      <w:pPr>
        <w:spacing w:before="8" w:after="321" w:line="319" w:lineRule="exact"/>
        <w:sectPr>
          <w:type w:val="nextPage"/>
          <w:pgSz w:w="12240" w:h="15840" w:orient="portrait"/>
          <w:pgMar w:bottom="1316" w:top="1440" w:right="2290" w:left="3610" w:header="720" w:footer="1493"/>
          <w:titlePg w:val="false"/>
          <w:textDirection w:val="lrTb"/>
        </w:sectPr>
      </w:pPr>
    </w:p>
    <w:p>
      <w:pPr>
        <w:pageBreakBefore w:val="false"/>
        <w:tabs>
          <w:tab w:val="right" w:leader="none" w:pos="7920"/>
        </w:tabs>
        <w:spacing w:before="2"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thereby created a grave risk of</w:t>
      </w:r>
    </w:p>
    <w:p>
      <w:pPr>
        <w:pageBreakBefore w:val="false"/>
        <w:spacing w:before="0" w:after="0" w:line="324"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death or serious physical injury to another person not a participant in the crime.</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continuous"/>
      <w:pgSz w:w="12240" w:h="15840" w:orient="portrait"/>
      <w:pgMar w:bottom="1316" w:top="1440" w:right="2138" w:left="2162"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