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9A1A" w14:textId="77777777" w:rsidR="00B34EF2" w:rsidRDefault="00B34EF2">
      <w:pPr>
        <w:widowControl w:val="0"/>
        <w:kinsoku w:val="0"/>
        <w:overflowPunct w:val="0"/>
        <w:spacing w:before="11" w:after="0" w:line="331" w:lineRule="exact"/>
        <w:ind w:left="72"/>
        <w:jc w:val="center"/>
        <w:textAlignment w:val="baseline"/>
        <w:rPr>
          <w:rFonts w:ascii="Arial" w:hAnsi="Arial" w:cs="Times New Roman"/>
          <w:b/>
          <w:sz w:val="28"/>
          <w:szCs w:val="24"/>
        </w:rPr>
      </w:pPr>
      <w:r>
        <w:rPr>
          <w:rFonts w:ascii="Arial" w:hAnsi="Arial" w:cs="Times New Roman"/>
          <w:b/>
          <w:sz w:val="28"/>
          <w:szCs w:val="24"/>
        </w:rPr>
        <w:t>CRIMINAL SALE OF A SEMIAUTOMATIC RIFLE</w:t>
      </w:r>
    </w:p>
    <w:p w14:paraId="2849792A" w14:textId="77777777" w:rsidR="00B34EF2" w:rsidRDefault="00B34EF2">
      <w:pPr>
        <w:widowControl w:val="0"/>
        <w:kinsoku w:val="0"/>
        <w:overflowPunct w:val="0"/>
        <w:spacing w:after="0" w:line="331" w:lineRule="exact"/>
        <w:ind w:left="72"/>
        <w:jc w:val="center"/>
        <w:textAlignment w:val="baseline"/>
        <w:rPr>
          <w:rFonts w:ascii="Arial" w:hAnsi="Arial" w:cs="Times New Roman"/>
          <w:b/>
          <w:sz w:val="28"/>
          <w:szCs w:val="24"/>
        </w:rPr>
      </w:pPr>
      <w:r>
        <w:rPr>
          <w:rFonts w:ascii="Arial" w:hAnsi="Arial" w:cs="Times New Roman"/>
          <w:b/>
          <w:sz w:val="28"/>
          <w:szCs w:val="24"/>
        </w:rPr>
        <w:t>Penal Law § 265.66</w:t>
      </w:r>
    </w:p>
    <w:p w14:paraId="25BA1010" w14:textId="77777777" w:rsidR="00B34EF2" w:rsidRDefault="00B34EF2">
      <w:pPr>
        <w:widowControl w:val="0"/>
        <w:kinsoku w:val="0"/>
        <w:overflowPunct w:val="0"/>
        <w:spacing w:after="0" w:line="331" w:lineRule="exact"/>
        <w:ind w:left="72"/>
        <w:jc w:val="center"/>
        <w:textAlignment w:val="baseline"/>
        <w:rPr>
          <w:rFonts w:ascii="Arial" w:hAnsi="Arial" w:cs="Times New Roman"/>
          <w:b/>
          <w:sz w:val="28"/>
          <w:szCs w:val="24"/>
        </w:rPr>
      </w:pPr>
      <w:r>
        <w:rPr>
          <w:rFonts w:ascii="Arial" w:hAnsi="Arial" w:cs="Times New Roman"/>
          <w:b/>
          <w:sz w:val="28"/>
          <w:szCs w:val="24"/>
        </w:rPr>
        <w:t>(Committed on or after October 4, 2022)</w:t>
      </w:r>
    </w:p>
    <w:p w14:paraId="6E06EB16" w14:textId="77777777" w:rsidR="00B34EF2" w:rsidRDefault="00B34EF2">
      <w:pPr>
        <w:widowControl w:val="0"/>
        <w:kinsoku w:val="0"/>
        <w:overflowPunct w:val="0"/>
        <w:spacing w:before="335" w:after="0" w:line="341" w:lineRule="exact"/>
        <w:ind w:left="72" w:firstLine="720"/>
        <w:jc w:val="both"/>
        <w:textAlignment w:val="baseline"/>
        <w:rPr>
          <w:rFonts w:ascii="Arial" w:hAnsi="Arial" w:cs="Times New Roman"/>
          <w:sz w:val="28"/>
          <w:szCs w:val="24"/>
        </w:rPr>
      </w:pPr>
      <w:r>
        <w:rPr>
          <w:rFonts w:ascii="Arial" w:hAnsi="Arial" w:cs="Times New Roman"/>
          <w:sz w:val="28"/>
          <w:szCs w:val="24"/>
        </w:rPr>
        <w:t>The (</w:t>
      </w:r>
      <w:r>
        <w:rPr>
          <w:rFonts w:ascii="Arial" w:hAnsi="Arial" w:cs="Times New Roman"/>
          <w:i/>
          <w:sz w:val="28"/>
          <w:szCs w:val="24"/>
          <w:u w:val="single"/>
        </w:rPr>
        <w:t>specify</w:t>
      </w:r>
      <w:r>
        <w:rPr>
          <w:rFonts w:ascii="Arial" w:hAnsi="Arial" w:cs="Times New Roman"/>
          <w:sz w:val="28"/>
          <w:szCs w:val="24"/>
        </w:rPr>
        <w:t>) count is Criminal Sale of a Semiautomatic Rifle.</w:t>
      </w:r>
    </w:p>
    <w:p w14:paraId="1A758A74" w14:textId="77777777" w:rsidR="00B34EF2" w:rsidRDefault="00B34EF2">
      <w:pPr>
        <w:widowControl w:val="0"/>
        <w:kinsoku w:val="0"/>
        <w:overflowPunct w:val="0"/>
        <w:spacing w:before="394" w:after="0" w:line="329" w:lineRule="exact"/>
        <w:ind w:left="72" w:firstLine="720"/>
        <w:jc w:val="both"/>
        <w:textAlignment w:val="baseline"/>
        <w:rPr>
          <w:rFonts w:ascii="Arial" w:hAnsi="Arial" w:cs="Times New Roman"/>
          <w:sz w:val="18"/>
          <w:szCs w:val="24"/>
        </w:rPr>
      </w:pPr>
      <w:r>
        <w:rPr>
          <w:rFonts w:ascii="Arial" w:hAnsi="Arial" w:cs="Times New Roman"/>
          <w:sz w:val="28"/>
          <w:szCs w:val="24"/>
        </w:rPr>
        <w:t>Under our law, a person is guilty of Criminal Sale of a Semiautomatic Rifle when knowing or having reason to know it is a semiautomatic rifle, that person sells, exchanges, gives or disposes of a semiautomatic rifle to another individual and such other individual does not possess a license to purchase or take possession of a semiautomatic rifle.</w:t>
      </w:r>
      <w:r>
        <w:rPr>
          <w:rFonts w:ascii="Arial" w:hAnsi="Arial" w:cs="Times New Roman"/>
          <w:sz w:val="28"/>
          <w:szCs w:val="24"/>
          <w:vertAlign w:val="superscript"/>
        </w:rPr>
        <w:t>1</w:t>
      </w:r>
    </w:p>
    <w:p w14:paraId="2A4D4781" w14:textId="77777777" w:rsidR="00B34EF2" w:rsidRDefault="00B34EF2">
      <w:pPr>
        <w:widowControl w:val="0"/>
        <w:kinsoku w:val="0"/>
        <w:overflowPunct w:val="0"/>
        <w:spacing w:before="358" w:after="0" w:line="341" w:lineRule="exact"/>
        <w:ind w:left="72" w:firstLine="720"/>
        <w:jc w:val="both"/>
        <w:textAlignment w:val="baseline"/>
        <w:rPr>
          <w:rFonts w:ascii="Arial" w:hAnsi="Arial" w:cs="Times New Roman"/>
          <w:sz w:val="28"/>
          <w:szCs w:val="24"/>
        </w:rPr>
      </w:pPr>
      <w:r>
        <w:rPr>
          <w:rFonts w:ascii="Arial" w:hAnsi="Arial" w:cs="Times New Roman"/>
          <w:sz w:val="28"/>
          <w:szCs w:val="24"/>
        </w:rPr>
        <w:t>The following terms used in that definition have a special meaning:</w:t>
      </w:r>
    </w:p>
    <w:p w14:paraId="71BCDEA7" w14:textId="77777777" w:rsidR="00B34EF2" w:rsidRDefault="00B34EF2">
      <w:pPr>
        <w:widowControl w:val="0"/>
        <w:kinsoku w:val="0"/>
        <w:overflowPunct w:val="0"/>
        <w:spacing w:before="368" w:after="0" w:line="321" w:lineRule="exact"/>
        <w:ind w:left="72" w:firstLine="720"/>
        <w:jc w:val="both"/>
        <w:textAlignment w:val="baseline"/>
        <w:rPr>
          <w:rFonts w:ascii="Arial" w:hAnsi="Arial" w:cs="Times New Roman"/>
          <w:sz w:val="18"/>
          <w:szCs w:val="24"/>
        </w:rPr>
      </w:pPr>
      <w:r>
        <w:rPr>
          <w:rFonts w:ascii="Arial" w:hAnsi="Arial" w:cs="Times New Roman"/>
          <w:sz w:val="28"/>
          <w:szCs w:val="24"/>
        </w:rPr>
        <w:t xml:space="preserve">SEMIAUTOMATIC RIFLE means any repeating rifle . . . regardless of barrel or overall length, which utilizes a portion of the energy of a firing cartridge or shell to extract the fired cartridge case or spent shell and chamber the next round, and which requires a separate pull of the trigger to fire each cartridge or shell." </w:t>
      </w:r>
      <w:r>
        <w:rPr>
          <w:rFonts w:ascii="Arial" w:hAnsi="Arial" w:cs="Times New Roman"/>
          <w:sz w:val="28"/>
          <w:szCs w:val="24"/>
          <w:vertAlign w:val="superscript"/>
        </w:rPr>
        <w:t>2</w:t>
      </w:r>
    </w:p>
    <w:p w14:paraId="75B68EBF" w14:textId="77777777" w:rsidR="00B34EF2" w:rsidRDefault="00B34EF2">
      <w:pPr>
        <w:widowControl w:val="0"/>
        <w:kinsoku w:val="0"/>
        <w:overflowPunct w:val="0"/>
        <w:spacing w:before="355" w:after="0" w:line="318" w:lineRule="exact"/>
        <w:ind w:left="72" w:firstLine="720"/>
        <w:jc w:val="both"/>
        <w:textAlignment w:val="baseline"/>
        <w:rPr>
          <w:rFonts w:ascii="Arial" w:hAnsi="Arial" w:cs="Times New Roman"/>
          <w:sz w:val="18"/>
          <w:szCs w:val="24"/>
        </w:rPr>
      </w:pPr>
      <w:r>
        <w:rPr>
          <w:rFonts w:ascii="Arial" w:hAnsi="Arial" w:cs="Times New Roman"/>
          <w:sz w:val="28"/>
          <w:szCs w:val="24"/>
        </w:rPr>
        <w:t>DISPOSES OF means to dispose of, give, give away, lease, loan, keep for sale, offer, offer for sale, sell, transfer and otherwise dispose of.</w:t>
      </w:r>
      <w:r>
        <w:rPr>
          <w:rFonts w:ascii="Arial" w:hAnsi="Arial" w:cs="Times New Roman"/>
          <w:sz w:val="28"/>
          <w:szCs w:val="24"/>
          <w:vertAlign w:val="superscript"/>
        </w:rPr>
        <w:t>3</w:t>
      </w:r>
    </w:p>
    <w:p w14:paraId="778F2CBF" w14:textId="77777777" w:rsidR="00B34EF2" w:rsidRDefault="00B34EF2">
      <w:pPr>
        <w:widowControl w:val="0"/>
        <w:kinsoku w:val="0"/>
        <w:overflowPunct w:val="0"/>
        <w:spacing w:before="349" w:after="538" w:line="321" w:lineRule="exact"/>
        <w:ind w:left="72" w:firstLine="720"/>
        <w:jc w:val="both"/>
        <w:textAlignment w:val="baseline"/>
        <w:rPr>
          <w:rFonts w:ascii="Arial" w:hAnsi="Arial" w:cs="Times New Roman"/>
          <w:sz w:val="28"/>
          <w:szCs w:val="24"/>
        </w:rPr>
      </w:pPr>
      <w:r>
        <w:rPr>
          <w:rFonts w:ascii="Arial" w:hAnsi="Arial" w:cs="Times New Roman"/>
          <w:sz w:val="28"/>
          <w:szCs w:val="24"/>
        </w:rPr>
        <w:t>In order for you to find the defendant guilty of this crime, the People are required to prove, from all the evidence in the case, beyond a reasonable doubt, each of the following three elements:</w:t>
      </w:r>
    </w:p>
    <w:p w14:paraId="4AB482DD" w14:textId="77777777" w:rsidR="00B34EF2" w:rsidRDefault="00000000">
      <w:pPr>
        <w:widowControl w:val="0"/>
        <w:kinsoku w:val="0"/>
        <w:overflowPunct w:val="0"/>
        <w:spacing w:before="140" w:after="0" w:line="253" w:lineRule="exact"/>
        <w:ind w:left="72"/>
        <w:jc w:val="both"/>
        <w:textAlignment w:val="baseline"/>
        <w:rPr>
          <w:rFonts w:ascii="Arial" w:hAnsi="Arial" w:cs="Times New Roman"/>
          <w:szCs w:val="24"/>
        </w:rPr>
      </w:pPr>
      <w:r>
        <w:rPr>
          <w:noProof/>
        </w:rPr>
        <w:pict w14:anchorId="37486BB0">
          <v:line id="_x0000_s1026" style="position:absolute;left:0;text-align:left;z-index:251658240;mso-wrap-distance-left:0;mso-wrap-distance-right:0;mso-position-horizontal-relative:page;mso-position-vertical-relative:page" from="108pt,614.9pt" to="252.3pt,614.9pt" o:allowincell="f" strokeweight=".7pt">
            <w10:wrap type="square" anchorx="page" anchory="page"/>
          </v:line>
        </w:pict>
      </w:r>
      <w:r w:rsidR="00B34EF2">
        <w:rPr>
          <w:rFonts w:ascii="Arial" w:hAnsi="Arial" w:cs="Times New Roman"/>
          <w:sz w:val="14"/>
          <w:szCs w:val="24"/>
          <w:vertAlign w:val="superscript"/>
        </w:rPr>
        <w:t>1</w:t>
      </w:r>
      <w:r w:rsidR="00B34EF2">
        <w:rPr>
          <w:rFonts w:ascii="Arial" w:hAnsi="Arial" w:cs="Times New Roman"/>
          <w:szCs w:val="24"/>
        </w:rPr>
        <w:t xml:space="preserve"> At this point, the statute continues: “as provided in” Penal Law § 400.00(2). The word “individual” has been substituted for the statutory word “person” in order to distinguish between the “person” who is liable for the offense and the “person” to whom the semiautomatic rifle is transferred.</w:t>
      </w:r>
    </w:p>
    <w:p w14:paraId="0A0D2C49" w14:textId="77777777" w:rsidR="00B34EF2" w:rsidRDefault="00B34EF2">
      <w:pPr>
        <w:widowControl w:val="0"/>
        <w:kinsoku w:val="0"/>
        <w:overflowPunct w:val="0"/>
        <w:spacing w:before="272" w:after="0" w:line="253" w:lineRule="exact"/>
        <w:ind w:left="72"/>
        <w:jc w:val="both"/>
        <w:textAlignment w:val="baseline"/>
        <w:rPr>
          <w:rFonts w:ascii="Arial" w:hAnsi="Arial" w:cs="Times New Roman"/>
          <w:szCs w:val="24"/>
        </w:rPr>
      </w:pPr>
      <w:r>
        <w:rPr>
          <w:rFonts w:ascii="Arial" w:hAnsi="Arial" w:cs="Times New Roman"/>
          <w:sz w:val="14"/>
          <w:szCs w:val="24"/>
          <w:vertAlign w:val="superscript"/>
        </w:rPr>
        <w:t>2</w:t>
      </w:r>
      <w:r>
        <w:rPr>
          <w:rFonts w:ascii="Arial" w:hAnsi="Arial" w:cs="Times New Roman"/>
          <w:szCs w:val="24"/>
        </w:rPr>
        <w:t xml:space="preserve"> Penal Law § 265.00(21). The omitted words between “rifle” and “regardless” are: “shotgun or pistol.”</w:t>
      </w:r>
    </w:p>
    <w:p w14:paraId="36689163" w14:textId="77777777" w:rsidR="00B34EF2" w:rsidRDefault="00B34EF2">
      <w:pPr>
        <w:widowControl w:val="0"/>
        <w:kinsoku w:val="0"/>
        <w:overflowPunct w:val="0"/>
        <w:spacing w:before="284" w:after="0" w:line="253" w:lineRule="exact"/>
        <w:ind w:left="72"/>
        <w:textAlignment w:val="baseline"/>
        <w:rPr>
          <w:rFonts w:ascii="Arial" w:hAnsi="Arial" w:cs="Times New Roman"/>
          <w:szCs w:val="24"/>
        </w:rPr>
      </w:pPr>
      <w:r>
        <w:rPr>
          <w:rFonts w:ascii="Times New Roman" w:hAnsi="Times New Roman" w:cs="Times New Roman"/>
          <w:sz w:val="16"/>
          <w:szCs w:val="24"/>
        </w:rPr>
        <w:t xml:space="preserve">3 </w:t>
      </w:r>
      <w:r>
        <w:rPr>
          <w:rFonts w:ascii="Arial" w:hAnsi="Arial" w:cs="Times New Roman"/>
          <w:szCs w:val="24"/>
        </w:rPr>
        <w:t>Penal Law § 265.00(6).</w:t>
      </w:r>
    </w:p>
    <w:p w14:paraId="649E4486" w14:textId="77777777" w:rsidR="00B34EF2" w:rsidRDefault="00B34EF2">
      <w:pPr>
        <w:autoSpaceDE w:val="0"/>
        <w:autoSpaceDN w:val="0"/>
        <w:adjustRightInd w:val="0"/>
        <w:spacing w:after="0" w:line="240" w:lineRule="auto"/>
        <w:rPr>
          <w:rFonts w:ascii="Times New Roman" w:hAnsi="Times New Roman" w:cs="Times New Roman"/>
          <w:sz w:val="24"/>
          <w:szCs w:val="24"/>
        </w:rPr>
        <w:sectPr w:rsidR="00B34EF2">
          <w:pgSz w:w="12240" w:h="15840"/>
          <w:pgMar w:top="1080" w:right="2140" w:bottom="644" w:left="2080" w:header="720" w:footer="720" w:gutter="0"/>
          <w:cols w:space="720"/>
          <w:noEndnote/>
        </w:sectPr>
      </w:pPr>
    </w:p>
    <w:p w14:paraId="26B7C669" w14:textId="77777777" w:rsidR="00B34EF2" w:rsidRDefault="00B34EF2" w:rsidP="00F929CE">
      <w:pPr>
        <w:widowControl w:val="0"/>
        <w:numPr>
          <w:ilvl w:val="0"/>
          <w:numId w:val="1"/>
        </w:numPr>
        <w:kinsoku w:val="0"/>
        <w:overflowPunct w:val="0"/>
        <w:spacing w:before="19" w:after="0" w:line="336" w:lineRule="exact"/>
        <w:ind w:right="72"/>
        <w:jc w:val="both"/>
        <w:textAlignment w:val="baseline"/>
        <w:rPr>
          <w:rFonts w:ascii="Arial" w:hAnsi="Arial" w:cs="Times New Roman"/>
          <w:sz w:val="28"/>
          <w:szCs w:val="24"/>
          <w:u w:val="single"/>
        </w:rPr>
      </w:pPr>
      <w:r>
        <w:rPr>
          <w:rFonts w:ascii="Arial" w:hAnsi="Arial" w:cs="Times New Roman"/>
          <w:sz w:val="28"/>
          <w:szCs w:val="24"/>
        </w:rPr>
        <w:lastRenderedPageBreak/>
        <w:t xml:space="preserve">That on or about </w:t>
      </w:r>
      <w:r>
        <w:rPr>
          <w:rFonts w:ascii="Arial" w:hAnsi="Arial" w:cs="Times New Roman"/>
          <w:sz w:val="28"/>
          <w:szCs w:val="24"/>
          <w:u w:val="single"/>
        </w:rPr>
        <w:t>(</w:t>
      </w:r>
      <w:r>
        <w:rPr>
          <w:rFonts w:ascii="Arial" w:hAnsi="Arial" w:cs="Times New Roman"/>
          <w:i/>
          <w:sz w:val="28"/>
          <w:szCs w:val="24"/>
          <w:u w:val="single"/>
        </w:rPr>
        <w:t>date</w:t>
      </w:r>
      <w:r>
        <w:rPr>
          <w:rFonts w:ascii="Arial" w:hAnsi="Arial" w:cs="Times New Roman"/>
          <w:sz w:val="28"/>
          <w:szCs w:val="24"/>
          <w:u w:val="single"/>
        </w:rPr>
        <w:t>)</w:t>
      </w:r>
      <w:r>
        <w:rPr>
          <w:rFonts w:ascii="Arial" w:hAnsi="Arial" w:cs="Times New Roman"/>
          <w:sz w:val="28"/>
          <w:szCs w:val="24"/>
        </w:rPr>
        <w:t xml:space="preserve">, in the County of </w:t>
      </w:r>
      <w:r>
        <w:rPr>
          <w:rFonts w:ascii="Arial" w:hAnsi="Arial" w:cs="Times New Roman"/>
          <w:sz w:val="28"/>
          <w:szCs w:val="24"/>
          <w:u w:val="single"/>
        </w:rPr>
        <w:t>(County)</w:t>
      </w:r>
      <w:r>
        <w:rPr>
          <w:rFonts w:ascii="Arial" w:hAnsi="Arial" w:cs="Times New Roman"/>
          <w:sz w:val="28"/>
          <w:szCs w:val="24"/>
        </w:rPr>
        <w:t xml:space="preserve">, the defendant, </w:t>
      </w:r>
      <w:r>
        <w:rPr>
          <w:rFonts w:ascii="Arial" w:hAnsi="Arial" w:cs="Times New Roman"/>
          <w:sz w:val="28"/>
          <w:szCs w:val="24"/>
          <w:u w:val="single"/>
        </w:rPr>
        <w:t>(</w:t>
      </w:r>
      <w:r>
        <w:rPr>
          <w:rFonts w:ascii="Arial" w:hAnsi="Arial" w:cs="Times New Roman"/>
          <w:i/>
          <w:sz w:val="28"/>
          <w:szCs w:val="24"/>
          <w:u w:val="single"/>
        </w:rPr>
        <w:t>defendant's name</w:t>
      </w:r>
      <w:r>
        <w:rPr>
          <w:rFonts w:ascii="Arial" w:hAnsi="Arial" w:cs="Times New Roman"/>
          <w:sz w:val="28"/>
          <w:szCs w:val="24"/>
          <w:u w:val="single"/>
        </w:rPr>
        <w:t>)</w:t>
      </w:r>
      <w:r>
        <w:rPr>
          <w:rFonts w:ascii="Arial" w:hAnsi="Arial" w:cs="Times New Roman"/>
          <w:sz w:val="28"/>
          <w:szCs w:val="24"/>
          <w:vertAlign w:val="superscript"/>
        </w:rPr>
        <w:t>4</w:t>
      </w:r>
      <w:r>
        <w:rPr>
          <w:rFonts w:ascii="Arial" w:hAnsi="Arial" w:cs="Times New Roman"/>
          <w:sz w:val="28"/>
          <w:szCs w:val="24"/>
        </w:rPr>
        <w:t xml:space="preserve"> sold, exchanged, gave, or disposed of a semiautomatic rifle to another individual (</w:t>
      </w:r>
      <w:r>
        <w:rPr>
          <w:rFonts w:ascii="Arial" w:hAnsi="Arial" w:cs="Times New Roman"/>
          <w:i/>
          <w:sz w:val="28"/>
          <w:szCs w:val="24"/>
          <w:u w:val="single"/>
        </w:rPr>
        <w:t>if known: specify name of the individual</w:t>
      </w:r>
      <w:r>
        <w:rPr>
          <w:rFonts w:ascii="Arial" w:hAnsi="Arial" w:cs="Times New Roman"/>
          <w:sz w:val="28"/>
          <w:szCs w:val="24"/>
        </w:rPr>
        <w:t>);</w:t>
      </w:r>
    </w:p>
    <w:p w14:paraId="73437C0A" w14:textId="77777777" w:rsidR="00B34EF2" w:rsidRDefault="00B34EF2">
      <w:pPr>
        <w:widowControl w:val="0"/>
        <w:numPr>
          <w:ilvl w:val="0"/>
          <w:numId w:val="1"/>
        </w:numPr>
        <w:kinsoku w:val="0"/>
        <w:overflowPunct w:val="0"/>
        <w:spacing w:before="338" w:after="0" w:line="336" w:lineRule="exact"/>
        <w:ind w:right="72"/>
        <w:jc w:val="both"/>
        <w:textAlignment w:val="baseline"/>
        <w:rPr>
          <w:rFonts w:ascii="Arial" w:hAnsi="Arial" w:cs="Times New Roman"/>
          <w:sz w:val="28"/>
          <w:szCs w:val="24"/>
        </w:rPr>
      </w:pPr>
      <w:r>
        <w:rPr>
          <w:rFonts w:ascii="Arial" w:hAnsi="Arial" w:cs="Times New Roman"/>
          <w:sz w:val="28"/>
          <w:szCs w:val="24"/>
        </w:rPr>
        <w:t>That the defendant did so knowing or having reason to know that it was a semiautomatic rifle; and</w:t>
      </w:r>
    </w:p>
    <w:p w14:paraId="7EFA79EC" w14:textId="77777777" w:rsidR="00B34EF2" w:rsidRDefault="00B34EF2" w:rsidP="00F929CE">
      <w:pPr>
        <w:widowControl w:val="0"/>
        <w:numPr>
          <w:ilvl w:val="0"/>
          <w:numId w:val="1"/>
        </w:numPr>
        <w:kinsoku w:val="0"/>
        <w:overflowPunct w:val="0"/>
        <w:spacing w:before="336" w:after="0" w:line="336" w:lineRule="exact"/>
        <w:ind w:right="72"/>
        <w:jc w:val="both"/>
        <w:textAlignment w:val="baseline"/>
        <w:rPr>
          <w:rFonts w:ascii="Arial" w:hAnsi="Arial" w:cs="Times New Roman"/>
          <w:spacing w:val="-1"/>
          <w:sz w:val="28"/>
          <w:szCs w:val="24"/>
        </w:rPr>
      </w:pPr>
      <w:r>
        <w:rPr>
          <w:rFonts w:ascii="Arial" w:hAnsi="Arial" w:cs="Times New Roman"/>
          <w:spacing w:val="-1"/>
          <w:sz w:val="28"/>
          <w:szCs w:val="24"/>
        </w:rPr>
        <w:t>That the other individual (</w:t>
      </w:r>
      <w:r>
        <w:rPr>
          <w:rFonts w:ascii="Arial" w:hAnsi="Arial" w:cs="Times New Roman"/>
          <w:i/>
          <w:spacing w:val="-1"/>
          <w:sz w:val="28"/>
          <w:szCs w:val="24"/>
          <w:u w:val="single"/>
        </w:rPr>
        <w:t>if known: specify name of the individual</w:t>
      </w:r>
      <w:r>
        <w:rPr>
          <w:rFonts w:ascii="Arial" w:hAnsi="Arial" w:cs="Times New Roman"/>
          <w:spacing w:val="-1"/>
          <w:sz w:val="28"/>
          <w:szCs w:val="24"/>
        </w:rPr>
        <w:t>) did not possess a license to purchase or take possession of a semiautomatic rifle.</w:t>
      </w:r>
    </w:p>
    <w:p w14:paraId="6A246152" w14:textId="77777777" w:rsidR="00B34EF2" w:rsidRDefault="00B34EF2">
      <w:pPr>
        <w:widowControl w:val="0"/>
        <w:kinsoku w:val="0"/>
        <w:overflowPunct w:val="0"/>
        <w:spacing w:before="336" w:after="0" w:line="336" w:lineRule="exact"/>
        <w:ind w:right="72" w:firstLine="792"/>
        <w:jc w:val="both"/>
        <w:textAlignment w:val="baseline"/>
        <w:rPr>
          <w:rFonts w:ascii="Arial" w:hAnsi="Arial" w:cs="Times New Roman"/>
          <w:sz w:val="28"/>
          <w:szCs w:val="24"/>
        </w:rPr>
      </w:pPr>
      <w:r>
        <w:rPr>
          <w:rFonts w:ascii="Arial" w:hAnsi="Arial" w:cs="Times New Roman"/>
          <w:sz w:val="28"/>
          <w:szCs w:val="24"/>
        </w:rPr>
        <w:t>If you find the People have proven beyond a reasonable doubt each of those elements, you must find the defendant guilty of this crime.</w:t>
      </w:r>
    </w:p>
    <w:p w14:paraId="10B67A1B" w14:textId="77777777" w:rsidR="00B34EF2" w:rsidRDefault="00B34EF2">
      <w:pPr>
        <w:widowControl w:val="0"/>
        <w:kinsoku w:val="0"/>
        <w:overflowPunct w:val="0"/>
        <w:spacing w:before="354" w:after="5797" w:line="338" w:lineRule="exact"/>
        <w:ind w:right="72" w:firstLine="792"/>
        <w:jc w:val="both"/>
        <w:textAlignment w:val="baseline"/>
        <w:rPr>
          <w:rFonts w:ascii="Arial" w:hAnsi="Arial" w:cs="Times New Roman"/>
          <w:sz w:val="28"/>
          <w:szCs w:val="24"/>
        </w:rPr>
      </w:pPr>
      <w:r>
        <w:rPr>
          <w:rFonts w:ascii="Arial" w:hAnsi="Arial" w:cs="Times New Roman"/>
          <w:sz w:val="28"/>
          <w:szCs w:val="24"/>
        </w:rPr>
        <w:t>If you find the People have not proven beyond a reasonable doubt any one or more of those elements, you must find the defendant not guilty of this crime.</w:t>
      </w:r>
    </w:p>
    <w:p w14:paraId="43772630" w14:textId="77777777" w:rsidR="00B34EF2" w:rsidRDefault="00B34EF2">
      <w:pPr>
        <w:autoSpaceDE w:val="0"/>
        <w:autoSpaceDN w:val="0"/>
        <w:adjustRightInd w:val="0"/>
        <w:spacing w:after="0" w:line="240" w:lineRule="auto"/>
        <w:rPr>
          <w:rFonts w:ascii="Times New Roman" w:hAnsi="Times New Roman" w:cs="Times New Roman"/>
          <w:sz w:val="24"/>
          <w:szCs w:val="24"/>
        </w:rPr>
        <w:sectPr w:rsidR="00B34EF2">
          <w:pgSz w:w="12240" w:h="15840"/>
          <w:pgMar w:top="1060" w:right="2088" w:bottom="904" w:left="2132" w:header="720" w:footer="720" w:gutter="0"/>
          <w:cols w:space="720"/>
          <w:noEndnote/>
        </w:sectPr>
      </w:pPr>
    </w:p>
    <w:p w14:paraId="4D00EB1C" w14:textId="77777777" w:rsidR="00B34EF2" w:rsidRDefault="00000000">
      <w:pPr>
        <w:widowControl w:val="0"/>
        <w:kinsoku w:val="0"/>
        <w:overflowPunct w:val="0"/>
        <w:spacing w:before="136" w:after="0" w:line="254" w:lineRule="exact"/>
        <w:jc w:val="both"/>
        <w:textAlignment w:val="baseline"/>
        <w:rPr>
          <w:rFonts w:ascii="Arial" w:hAnsi="Arial" w:cs="Times New Roman"/>
          <w:szCs w:val="24"/>
        </w:rPr>
      </w:pPr>
      <w:r>
        <w:rPr>
          <w:noProof/>
        </w:rPr>
        <w:pict w14:anchorId="70580298">
          <v:line id="_x0000_s1027" style="position:absolute;left:0;text-align:left;z-index:251659264;mso-wrap-distance-left:0;mso-wrap-distance-right:0;mso-position-horizontal-relative:page;mso-position-vertical-relative:page" from="105.5pt,681.85pt" to="252.3pt,681.85pt" o:allowincell="f" strokeweight=".7pt">
            <w10:wrap type="square" anchorx="page" anchory="page"/>
          </v:line>
        </w:pict>
      </w:r>
      <w:r w:rsidR="00B34EF2">
        <w:rPr>
          <w:rFonts w:ascii="Arial" w:hAnsi="Arial" w:cs="Times New Roman"/>
          <w:sz w:val="14"/>
          <w:szCs w:val="24"/>
          <w:vertAlign w:val="superscript"/>
        </w:rPr>
        <w:t>4</w:t>
      </w:r>
      <w:r w:rsidR="00B34EF2">
        <w:rPr>
          <w:rFonts w:ascii="Arial" w:hAnsi="Arial" w:cs="Times New Roman"/>
          <w:szCs w:val="24"/>
        </w:rPr>
        <w:t xml:space="preserve"> When the defendant is charged in whole or in part as an accomplice, Court will add: </w:t>
      </w:r>
      <w:proofErr w:type="spellStart"/>
      <w:r w:rsidR="00B34EF2">
        <w:rPr>
          <w:rFonts w:ascii="Arial" w:hAnsi="Arial" w:cs="Times New Roman"/>
          <w:szCs w:val="24"/>
        </w:rPr>
        <w:t>Apersonally</w:t>
      </w:r>
      <w:proofErr w:type="spellEnd"/>
      <w:r w:rsidR="00B34EF2">
        <w:rPr>
          <w:rFonts w:ascii="Arial" w:hAnsi="Arial" w:cs="Times New Roman"/>
          <w:szCs w:val="24"/>
        </w:rPr>
        <w:t xml:space="preserve">, or by acting in concert with another person.@ </w:t>
      </w:r>
      <w:r w:rsidR="00B34EF2">
        <w:rPr>
          <w:rFonts w:ascii="Arial" w:hAnsi="Arial" w:cs="Times New Roman"/>
          <w:i/>
          <w:szCs w:val="24"/>
        </w:rPr>
        <w:t xml:space="preserve">See </w:t>
      </w:r>
      <w:r w:rsidR="00B34EF2">
        <w:rPr>
          <w:rFonts w:ascii="Arial" w:hAnsi="Arial" w:cs="Times New Roman"/>
          <w:szCs w:val="24"/>
        </w:rPr>
        <w:t>Accomplice charge.</w:t>
      </w:r>
    </w:p>
    <w:sectPr w:rsidR="00B34EF2" w:rsidSect="00B34EF2">
      <w:type w:val="continuous"/>
      <w:pgSz w:w="12240" w:h="15840"/>
      <w:pgMar w:top="1060" w:right="2110" w:bottom="904" w:left="21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8EC3" w14:textId="77777777" w:rsidR="000404BF" w:rsidRDefault="000404BF" w:rsidP="00B34EF2">
      <w:pPr>
        <w:spacing w:after="0" w:line="240" w:lineRule="auto"/>
      </w:pPr>
      <w:r>
        <w:separator/>
      </w:r>
    </w:p>
  </w:endnote>
  <w:endnote w:type="continuationSeparator" w:id="0">
    <w:p w14:paraId="22A8483B" w14:textId="77777777" w:rsidR="000404BF" w:rsidRDefault="000404BF" w:rsidP="00B3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4F79" w14:textId="77777777" w:rsidR="000404BF" w:rsidRDefault="000404BF">
      <w:pPr>
        <w:spacing w:after="0" w:line="240" w:lineRule="auto"/>
        <w:rPr>
          <w:rFonts w:ascii="Times New Roman" w:hAnsi="Times New Roman" w:cs="Times New Roman"/>
          <w:sz w:val="24"/>
          <w:szCs w:val="24"/>
        </w:rPr>
      </w:pPr>
    </w:p>
  </w:footnote>
  <w:footnote w:type="continuationSeparator" w:id="0">
    <w:p w14:paraId="10B6BE0D" w14:textId="77777777" w:rsidR="000404BF" w:rsidRDefault="000404BF" w:rsidP="00B34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83A4"/>
    <w:multiLevelType w:val="singleLevel"/>
    <w:tmpl w:val="FFFFFFFF"/>
    <w:lvl w:ilvl="0">
      <w:start w:val="1"/>
      <w:numFmt w:val="decimal"/>
      <w:lvlText w:val="%1."/>
      <w:lvlJc w:val="left"/>
      <w:pPr>
        <w:tabs>
          <w:tab w:val="num" w:pos="1440"/>
        </w:tabs>
        <w:ind w:left="1440" w:hanging="648"/>
      </w:pPr>
      <w:rPr>
        <w:rFonts w:ascii="Arial" w:hAnsi="Arial"/>
        <w:snapToGrid/>
        <w:sz w:val="28"/>
      </w:rPr>
    </w:lvl>
  </w:abstractNum>
  <w:num w:numId="1" w16cid:durableId="1632250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B34EF2"/>
    <w:rsid w:val="000404BF"/>
    <w:rsid w:val="00830200"/>
    <w:rsid w:val="00B34EF2"/>
    <w:rsid w:val="00F9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3D2E2E0"/>
  <w14:defaultImageDpi w14:val="0"/>
  <w15:docId w15:val="{7D1AD571-32A5-4E3C-97EC-BE769B1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cp:revision>
  <dcterms:created xsi:type="dcterms:W3CDTF">2022-11-30T04:22:00Z</dcterms:created>
  <dcterms:modified xsi:type="dcterms:W3CDTF">2022-12-07T04:18:00Z</dcterms:modified>
</cp:coreProperties>
</file>