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F700" w14:textId="1F954D52" w:rsidR="0095332D" w:rsidRPr="00470BDC" w:rsidRDefault="0095332D">
      <w:pPr>
        <w:tabs>
          <w:tab w:val="center" w:pos="3960"/>
        </w:tabs>
        <w:jc w:val="both"/>
        <w:rPr>
          <w:rFonts w:ascii="Arial" w:hAnsi="Arial" w:cs="Arial"/>
          <w:b/>
          <w:bCs/>
          <w:sz w:val="28"/>
          <w:szCs w:val="28"/>
        </w:rPr>
      </w:pPr>
      <w:r w:rsidRPr="00470BDC">
        <w:rPr>
          <w:rFonts w:ascii="Arial" w:hAnsi="Arial" w:cs="Arial"/>
          <w:b/>
          <w:bCs/>
          <w:sz w:val="28"/>
          <w:szCs w:val="28"/>
        </w:rPr>
        <w:tab/>
        <w:t>CRIMINAL POSSESSION OF A WEAPON</w:t>
      </w:r>
    </w:p>
    <w:p w14:paraId="0F087BAB" w14:textId="77777777" w:rsidR="0095332D" w:rsidRPr="00470BDC" w:rsidRDefault="0095332D">
      <w:pPr>
        <w:tabs>
          <w:tab w:val="center" w:pos="3960"/>
        </w:tabs>
        <w:jc w:val="both"/>
        <w:rPr>
          <w:rFonts w:ascii="Arial" w:hAnsi="Arial" w:cs="Arial"/>
          <w:b/>
          <w:bCs/>
          <w:sz w:val="28"/>
          <w:szCs w:val="28"/>
        </w:rPr>
      </w:pPr>
      <w:r w:rsidRPr="00470BDC">
        <w:rPr>
          <w:rFonts w:ascii="Arial" w:hAnsi="Arial" w:cs="Arial"/>
          <w:b/>
          <w:bCs/>
          <w:sz w:val="28"/>
          <w:szCs w:val="28"/>
        </w:rPr>
        <w:tab/>
        <w:t>IN THE FOURTH DEGREE</w:t>
      </w:r>
    </w:p>
    <w:p w14:paraId="537CF93B" w14:textId="77777777" w:rsidR="0095332D" w:rsidRPr="00470BDC" w:rsidRDefault="0095332D">
      <w:pPr>
        <w:jc w:val="center"/>
        <w:rPr>
          <w:rFonts w:ascii="Arial" w:hAnsi="Arial" w:cs="Arial"/>
          <w:b/>
          <w:bCs/>
          <w:sz w:val="28"/>
          <w:szCs w:val="28"/>
        </w:rPr>
      </w:pPr>
      <w:r w:rsidRPr="00470BDC">
        <w:rPr>
          <w:rFonts w:ascii="Arial" w:hAnsi="Arial" w:cs="Arial"/>
          <w:b/>
          <w:bCs/>
          <w:sz w:val="28"/>
          <w:szCs w:val="28"/>
        </w:rPr>
        <w:t xml:space="preserve">(Possession of Rifle or Shotgun by </w:t>
      </w:r>
    </w:p>
    <w:p w14:paraId="7C72296B" w14:textId="77777777" w:rsidR="0095332D" w:rsidRPr="00470BDC" w:rsidRDefault="0095332D">
      <w:pPr>
        <w:jc w:val="center"/>
        <w:rPr>
          <w:rFonts w:ascii="Arial" w:hAnsi="Arial" w:cs="Arial"/>
          <w:b/>
          <w:bCs/>
          <w:sz w:val="28"/>
          <w:szCs w:val="28"/>
        </w:rPr>
      </w:pPr>
      <w:r w:rsidRPr="00470BDC">
        <w:rPr>
          <w:rFonts w:ascii="Arial" w:hAnsi="Arial" w:cs="Arial"/>
          <w:b/>
          <w:bCs/>
          <w:sz w:val="28"/>
          <w:szCs w:val="28"/>
        </w:rPr>
        <w:t>Person Certified Not Suitable)</w:t>
      </w:r>
    </w:p>
    <w:p w14:paraId="42ABD7AC" w14:textId="77777777" w:rsidR="0095332D" w:rsidRPr="00470BDC" w:rsidRDefault="0095332D">
      <w:pPr>
        <w:jc w:val="center"/>
        <w:rPr>
          <w:rFonts w:ascii="Arial" w:hAnsi="Arial" w:cs="Arial"/>
          <w:b/>
          <w:bCs/>
          <w:sz w:val="28"/>
          <w:szCs w:val="28"/>
        </w:rPr>
      </w:pPr>
      <w:r w:rsidRPr="00470BDC">
        <w:rPr>
          <w:rFonts w:ascii="Arial" w:hAnsi="Arial" w:cs="Arial"/>
          <w:b/>
          <w:bCs/>
          <w:sz w:val="28"/>
          <w:szCs w:val="28"/>
        </w:rPr>
        <w:t xml:space="preserve">Penal Law </w:t>
      </w:r>
      <w:r w:rsidRPr="00470BDC">
        <w:rPr>
          <w:rFonts w:ascii="Arial" w:hAnsi="Arial" w:cs="Arial"/>
          <w:b/>
          <w:bCs/>
          <w:sz w:val="28"/>
          <w:szCs w:val="28"/>
        </w:rPr>
        <w:sym w:font="WP TypographicSymbols" w:char="0027"/>
      </w:r>
      <w:r w:rsidRPr="00470BDC">
        <w:rPr>
          <w:rFonts w:ascii="Arial" w:hAnsi="Arial" w:cs="Arial"/>
          <w:b/>
          <w:bCs/>
          <w:sz w:val="28"/>
          <w:szCs w:val="28"/>
        </w:rPr>
        <w:t xml:space="preserve"> 265.01(6)</w:t>
      </w:r>
    </w:p>
    <w:p w14:paraId="557DA73E" w14:textId="378A3B6D" w:rsidR="0095332D" w:rsidRDefault="0095332D">
      <w:pPr>
        <w:jc w:val="center"/>
        <w:rPr>
          <w:rFonts w:ascii="Arial" w:hAnsi="Arial" w:cs="Arial"/>
          <w:b/>
          <w:bCs/>
          <w:sz w:val="28"/>
          <w:szCs w:val="28"/>
        </w:rPr>
      </w:pPr>
      <w:r w:rsidRPr="00470BDC">
        <w:rPr>
          <w:rFonts w:ascii="Arial" w:hAnsi="Arial" w:cs="Arial"/>
          <w:b/>
          <w:bCs/>
          <w:sz w:val="28"/>
          <w:szCs w:val="28"/>
        </w:rPr>
        <w:t xml:space="preserve">(Committed on or after Sept. 1, </w:t>
      </w:r>
      <w:r w:rsidR="0067163B">
        <w:rPr>
          <w:rFonts w:ascii="Arial" w:hAnsi="Arial" w:cs="Arial"/>
          <w:b/>
          <w:bCs/>
          <w:sz w:val="28"/>
          <w:szCs w:val="28"/>
        </w:rPr>
        <w:t>2022</w:t>
      </w:r>
      <w:r w:rsidRPr="00470BDC">
        <w:rPr>
          <w:rFonts w:ascii="Arial" w:hAnsi="Arial" w:cs="Arial"/>
          <w:b/>
          <w:bCs/>
          <w:sz w:val="28"/>
          <w:szCs w:val="28"/>
        </w:rPr>
        <w:t>)</w:t>
      </w:r>
    </w:p>
    <w:p w14:paraId="7C87D14C" w14:textId="2FB8AD4A" w:rsidR="00534728" w:rsidRPr="00534728" w:rsidRDefault="00534728">
      <w:pPr>
        <w:jc w:val="center"/>
        <w:rPr>
          <w:rFonts w:ascii="Arial" w:eastAsia="Yu Gothic UI" w:hAnsi="Arial" w:cs="Arial"/>
          <w:sz w:val="22"/>
          <w:szCs w:val="22"/>
        </w:rPr>
      </w:pPr>
      <w:r w:rsidRPr="00534728">
        <w:rPr>
          <w:rFonts w:ascii="Arial" w:hAnsi="Arial" w:cs="Arial"/>
          <w:sz w:val="22"/>
          <w:szCs w:val="22"/>
        </w:rPr>
        <w:t>(Revised Dec. 2020)</w:t>
      </w:r>
      <w:r>
        <w:rPr>
          <w:rStyle w:val="FootnoteReference"/>
          <w:rFonts w:ascii="Arial" w:hAnsi="Arial" w:cs="Arial"/>
          <w:sz w:val="22"/>
          <w:szCs w:val="22"/>
        </w:rPr>
        <w:footnoteReference w:id="1"/>
      </w:r>
    </w:p>
    <w:p w14:paraId="5085D37C" w14:textId="77777777" w:rsidR="0095332D" w:rsidRPr="00470BDC" w:rsidRDefault="0095332D">
      <w:pPr>
        <w:jc w:val="both"/>
        <w:rPr>
          <w:rFonts w:ascii="Arial" w:eastAsia="Yu Gothic UI" w:hAnsi="Arial" w:cs="Arial"/>
          <w:sz w:val="28"/>
          <w:szCs w:val="28"/>
        </w:rPr>
      </w:pPr>
    </w:p>
    <w:p w14:paraId="390F0D58" w14:textId="77777777" w:rsidR="0095332D" w:rsidRPr="00470BDC" w:rsidRDefault="0095332D">
      <w:pPr>
        <w:ind w:firstLine="720"/>
        <w:jc w:val="both"/>
        <w:rPr>
          <w:rFonts w:ascii="Arial" w:eastAsia="Yu Gothic UI" w:hAnsi="Arial" w:cs="Arial"/>
          <w:sz w:val="28"/>
          <w:szCs w:val="28"/>
        </w:rPr>
      </w:pPr>
      <w:r w:rsidRPr="00470BDC">
        <w:rPr>
          <w:rFonts w:ascii="Arial" w:hAnsi="Arial" w:cs="Arial"/>
          <w:sz w:val="28"/>
          <w:szCs w:val="28"/>
        </w:rPr>
        <w:t xml:space="preserve">The </w:t>
      </w:r>
      <w:r w:rsidRPr="00470BDC">
        <w:rPr>
          <w:rFonts w:ascii="Arial" w:eastAsia="Yu Gothic UI" w:hAnsi="Arial" w:cs="Arial"/>
          <w:sz w:val="28"/>
          <w:szCs w:val="28"/>
        </w:rPr>
        <w:t>(</w:t>
      </w:r>
      <w:r w:rsidRPr="00470BDC">
        <w:rPr>
          <w:rFonts w:ascii="Arial" w:eastAsia="Yu Gothic UI" w:hAnsi="Arial" w:cs="Arial"/>
          <w:i/>
          <w:iCs/>
          <w:sz w:val="28"/>
          <w:szCs w:val="28"/>
          <w:u w:val="single"/>
        </w:rPr>
        <w:t>specify</w:t>
      </w:r>
      <w:r w:rsidRPr="00470BDC">
        <w:rPr>
          <w:rFonts w:ascii="Arial" w:eastAsia="Yu Gothic UI" w:hAnsi="Arial" w:cs="Arial"/>
          <w:sz w:val="28"/>
          <w:szCs w:val="28"/>
        </w:rPr>
        <w:t>)</w:t>
      </w:r>
      <w:r w:rsidRPr="00470BDC">
        <w:rPr>
          <w:rFonts w:ascii="Arial" w:hAnsi="Arial" w:cs="Arial"/>
          <w:sz w:val="28"/>
          <w:szCs w:val="28"/>
        </w:rPr>
        <w:t xml:space="preserve"> count</w:t>
      </w:r>
      <w:r w:rsidRPr="00470BDC">
        <w:rPr>
          <w:rFonts w:ascii="Arial" w:eastAsia="Yu Gothic UI" w:hAnsi="Arial" w:cs="Arial"/>
          <w:sz w:val="28"/>
          <w:szCs w:val="28"/>
        </w:rPr>
        <w:t xml:space="preserve"> is Criminal Possession of a Weapon in the Fourth Degree.</w:t>
      </w:r>
    </w:p>
    <w:p w14:paraId="117FC5E2" w14:textId="77777777" w:rsidR="0095332D" w:rsidRPr="00470BDC" w:rsidRDefault="0095332D">
      <w:pPr>
        <w:jc w:val="both"/>
        <w:rPr>
          <w:rFonts w:ascii="Arial" w:eastAsia="Yu Gothic UI" w:hAnsi="Arial" w:cs="Arial"/>
          <w:sz w:val="28"/>
          <w:szCs w:val="28"/>
        </w:rPr>
      </w:pPr>
    </w:p>
    <w:p w14:paraId="6DD72B91" w14:textId="77777777" w:rsidR="0095332D" w:rsidRPr="00470BDC" w:rsidRDefault="0095332D">
      <w:pPr>
        <w:ind w:firstLine="720"/>
        <w:jc w:val="both"/>
        <w:rPr>
          <w:rFonts w:ascii="Arial" w:eastAsia="Yu Gothic UI" w:hAnsi="Arial" w:cs="Arial"/>
          <w:sz w:val="28"/>
          <w:szCs w:val="28"/>
        </w:rPr>
      </w:pPr>
      <w:r w:rsidRPr="00470BDC">
        <w:rPr>
          <w:rFonts w:ascii="Arial" w:eastAsia="Yu Gothic UI" w:hAnsi="Arial" w:cs="Arial"/>
          <w:sz w:val="28"/>
          <w:szCs w:val="28"/>
        </w:rPr>
        <w:t>Under our law, a person is guilty of Criminal Possession of a Weapon in the Fourth Degree when he or she is a person who has been certified not suitable to possess a rifle or shotgun,</w:t>
      </w:r>
      <w:r w:rsidRPr="00470BDC">
        <w:rPr>
          <w:rStyle w:val="FootnoteReference"/>
          <w:rFonts w:ascii="Arial" w:eastAsia="Yu Gothic UI" w:hAnsi="Arial" w:cs="Arial"/>
          <w:sz w:val="28"/>
          <w:szCs w:val="28"/>
          <w:vertAlign w:val="superscript"/>
        </w:rPr>
        <w:footnoteReference w:id="2"/>
      </w:r>
      <w:r w:rsidRPr="00470BDC">
        <w:rPr>
          <w:rFonts w:ascii="Arial" w:eastAsia="Yu Gothic UI" w:hAnsi="Arial" w:cs="Arial"/>
          <w:sz w:val="28"/>
          <w:szCs w:val="28"/>
        </w:rPr>
        <w:t xml:space="preserve"> and refuses to yield possession of such rifle or shotgun upon the demand of a police officer.</w:t>
      </w:r>
    </w:p>
    <w:p w14:paraId="72AF49EA" w14:textId="77777777" w:rsidR="0095332D" w:rsidRPr="00470BDC" w:rsidRDefault="0095332D">
      <w:pPr>
        <w:jc w:val="both"/>
        <w:rPr>
          <w:rFonts w:ascii="Arial" w:eastAsia="Yu Gothic UI" w:hAnsi="Arial" w:cs="Arial"/>
          <w:sz w:val="28"/>
          <w:szCs w:val="28"/>
        </w:rPr>
      </w:pPr>
    </w:p>
    <w:p w14:paraId="49B39A1B" w14:textId="77777777" w:rsidR="0095332D" w:rsidRPr="00470BDC" w:rsidRDefault="0095332D">
      <w:pPr>
        <w:ind w:firstLine="720"/>
        <w:jc w:val="both"/>
        <w:rPr>
          <w:rFonts w:ascii="Arial" w:eastAsia="Yu Gothic UI" w:hAnsi="Arial" w:cs="Arial"/>
          <w:sz w:val="28"/>
          <w:szCs w:val="28"/>
        </w:rPr>
      </w:pPr>
      <w:r w:rsidRPr="00470BDC">
        <w:rPr>
          <w:rFonts w:ascii="Arial" w:hAnsi="Arial" w:cs="Arial"/>
          <w:sz w:val="28"/>
          <w:szCs w:val="28"/>
        </w:rPr>
        <w:t>The following terms used in that definition have a special meaning:</w:t>
      </w:r>
    </w:p>
    <w:p w14:paraId="0A2BE0A5" w14:textId="77777777" w:rsidR="0095332D" w:rsidRPr="00470BDC" w:rsidRDefault="0095332D">
      <w:pPr>
        <w:jc w:val="both"/>
        <w:rPr>
          <w:rFonts w:ascii="Arial" w:eastAsia="Yu Gothic UI" w:hAnsi="Arial" w:cs="Arial"/>
          <w:sz w:val="28"/>
          <w:szCs w:val="28"/>
        </w:rPr>
      </w:pPr>
    </w:p>
    <w:p w14:paraId="5055BD75" w14:textId="77777777" w:rsidR="0095332D" w:rsidRPr="00470BDC" w:rsidRDefault="0095332D">
      <w:pPr>
        <w:ind w:firstLine="720"/>
        <w:jc w:val="both"/>
        <w:rPr>
          <w:rFonts w:ascii="Arial" w:eastAsia="Yu Gothic UI" w:hAnsi="Arial" w:cs="Arial"/>
          <w:sz w:val="28"/>
          <w:szCs w:val="28"/>
        </w:rPr>
      </w:pPr>
      <w:r w:rsidRPr="00470BDC">
        <w:rPr>
          <w:rFonts w:ascii="Arial" w:eastAsia="Yu Gothic UI" w:hAnsi="Arial" w:cs="Arial"/>
          <w:sz w:val="28"/>
          <w:szCs w:val="28"/>
        </w:rPr>
        <w:t xml:space="preserve">CERTIFIED NOT SUITABLE TO POSSESS A RIFLE OR SHOTGUN means that the director or physician in charge of any hospital or institution for mental illness, public or private, has certified to the superintendent of state police or to any organized police department of a county, city, town or village of this state, that a person who has been judicially adjudicated incompetent, or who has been confined to such institution for mental illness pursuant to judicial authority, is not suitable to possess a rifle or shotgun. </w:t>
      </w:r>
      <w:r w:rsidRPr="00470BDC">
        <w:rPr>
          <w:rStyle w:val="FootnoteReference"/>
          <w:rFonts w:ascii="Arial" w:eastAsia="Yu Gothic UI" w:hAnsi="Arial" w:cs="Arial"/>
          <w:sz w:val="28"/>
          <w:szCs w:val="28"/>
          <w:vertAlign w:val="superscript"/>
        </w:rPr>
        <w:footnoteReference w:id="3"/>
      </w:r>
    </w:p>
    <w:p w14:paraId="04520F18" w14:textId="77777777" w:rsidR="0095332D" w:rsidRPr="00470BDC" w:rsidRDefault="0095332D">
      <w:pPr>
        <w:jc w:val="both"/>
        <w:rPr>
          <w:rFonts w:ascii="Arial" w:eastAsia="Yu Gothic UI" w:hAnsi="Arial" w:cs="Arial"/>
          <w:sz w:val="28"/>
          <w:szCs w:val="28"/>
        </w:rPr>
      </w:pPr>
      <w:r w:rsidRPr="00470BDC">
        <w:rPr>
          <w:rFonts w:ascii="Arial" w:eastAsia="Yu Gothic UI" w:hAnsi="Arial" w:cs="Arial"/>
          <w:sz w:val="28"/>
          <w:szCs w:val="28"/>
        </w:rPr>
        <w:t xml:space="preserve"> </w:t>
      </w:r>
    </w:p>
    <w:p w14:paraId="5B19BA2C" w14:textId="77777777" w:rsidR="0095332D" w:rsidRPr="00470BDC" w:rsidRDefault="0095332D">
      <w:pPr>
        <w:jc w:val="both"/>
        <w:rPr>
          <w:rFonts w:ascii="Arial" w:eastAsia="Yu Gothic UI" w:hAnsi="Arial" w:cs="Arial"/>
          <w:sz w:val="28"/>
          <w:szCs w:val="28"/>
        </w:rPr>
        <w:sectPr w:rsidR="0095332D" w:rsidRPr="00470BDC">
          <w:pgSz w:w="12240" w:h="15840"/>
          <w:pgMar w:top="1440" w:right="2160" w:bottom="1440" w:left="2160" w:header="1440" w:footer="1440" w:gutter="0"/>
          <w:cols w:space="720"/>
          <w:noEndnote/>
        </w:sectPr>
      </w:pPr>
    </w:p>
    <w:p w14:paraId="3D846DD8" w14:textId="2014032D" w:rsidR="003B0328" w:rsidRPr="00EC3F50" w:rsidRDefault="003B0328" w:rsidP="003B0328">
      <w:pPr>
        <w:widowControl/>
        <w:ind w:firstLine="720"/>
        <w:jc w:val="both"/>
        <w:rPr>
          <w:rFonts w:ascii="Arial" w:eastAsia="Yu Gothic UI" w:hAnsi="Arial" w:cs="Arial"/>
          <w:sz w:val="28"/>
          <w:szCs w:val="28"/>
        </w:rPr>
      </w:pPr>
      <w:r w:rsidRPr="00EC3F50">
        <w:rPr>
          <w:rFonts w:ascii="Arial" w:eastAsia="Yu Gothic UI" w:hAnsi="Arial" w:cs="Arial"/>
          <w:sz w:val="28"/>
          <w:szCs w:val="28"/>
        </w:rPr>
        <w:lastRenderedPageBreak/>
        <w:t>[</w:t>
      </w:r>
      <w:bookmarkStart w:id="0" w:name="_Hlk110252499"/>
      <w:r w:rsidRPr="00EC3F50">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0"/>
      <w:r w:rsidRPr="00EC3F50">
        <w:rPr>
          <w:rFonts w:ascii="Arial" w:eastAsia="Calibri" w:hAnsi="Arial" w:cs="Arial"/>
          <w:sz w:val="28"/>
          <w:szCs w:val="28"/>
        </w:rPr>
        <w:t xml:space="preserve">using either: (a) fixed metallic cartridge; or (b) each projectile and explosive charge are loaded individually for each shot discharged.  </w:t>
      </w:r>
      <w:r w:rsidR="001821BA">
        <w:rPr>
          <w:rFonts w:ascii="Arial" w:eastAsia="Calibri" w:hAnsi="Arial" w:cs="Arial"/>
          <w:sz w:val="28"/>
          <w:szCs w:val="28"/>
        </w:rPr>
        <w:t>(</w:t>
      </w:r>
      <w:r w:rsidR="001821BA" w:rsidRPr="00BA7DB3">
        <w:rPr>
          <w:rFonts w:ascii="Arial" w:eastAsia="Calibri" w:hAnsi="Arial" w:cs="Arial"/>
          <w:i/>
          <w:iCs/>
          <w:sz w:val="28"/>
          <w:szCs w:val="28"/>
          <w:u w:val="single"/>
        </w:rPr>
        <w:t>Add if in issue:</w:t>
      </w:r>
      <w:r w:rsidR="001821BA">
        <w:rPr>
          <w:rFonts w:ascii="Arial" w:eastAsia="Calibri" w:hAnsi="Arial" w:cs="Arial"/>
          <w:sz w:val="28"/>
          <w:szCs w:val="28"/>
        </w:rPr>
        <w:t xml:space="preserve"> </w:t>
      </w:r>
      <w:r w:rsidRPr="00EC3F50">
        <w:rPr>
          <w:rFonts w:ascii="Arial" w:eastAsia="Calibri" w:hAnsi="Arial" w:cs="Arial"/>
          <w:sz w:val="28"/>
          <w:szCs w:val="28"/>
        </w:rPr>
        <w:t>In 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001821BA">
        <w:rPr>
          <w:rFonts w:ascii="Arial" w:eastAsia="Calibri" w:hAnsi="Arial" w:cs="Arial"/>
          <w:sz w:val="28"/>
          <w:szCs w:val="28"/>
        </w:rPr>
        <w:t>)</w:t>
      </w:r>
      <w:r w:rsidRPr="00EC3F50">
        <w:rPr>
          <w:rFonts w:ascii="Arial" w:eastAsia="Yu Gothic UI" w:hAnsi="Arial" w:cs="Arial"/>
          <w:sz w:val="28"/>
          <w:szCs w:val="28"/>
        </w:rPr>
        <w:t>.</w:t>
      </w:r>
      <w:r w:rsidRPr="00EC3F50">
        <w:rPr>
          <w:rStyle w:val="FootnoteReference"/>
          <w:rFonts w:ascii="Arial" w:eastAsia="Yu Gothic UI" w:hAnsi="Arial" w:cs="Arial"/>
          <w:sz w:val="28"/>
          <w:szCs w:val="28"/>
          <w:vertAlign w:val="superscript"/>
        </w:rPr>
        <w:footnoteReference w:id="4"/>
      </w:r>
      <w:r w:rsidRPr="00EC3F50">
        <w:rPr>
          <w:rFonts w:ascii="Arial" w:eastAsia="Yu Gothic UI" w:hAnsi="Arial" w:cs="Arial"/>
          <w:sz w:val="28"/>
          <w:szCs w:val="28"/>
        </w:rPr>
        <w:t>]</w:t>
      </w:r>
    </w:p>
    <w:p w14:paraId="1C76C493" w14:textId="77777777" w:rsidR="003B0328" w:rsidRPr="00EC3F50" w:rsidRDefault="003B0328" w:rsidP="003B0328">
      <w:pPr>
        <w:widowControl/>
        <w:jc w:val="both"/>
        <w:rPr>
          <w:rFonts w:ascii="Arial" w:eastAsia="Yu Gothic UI" w:hAnsi="Arial" w:cs="Arial"/>
          <w:sz w:val="28"/>
          <w:szCs w:val="28"/>
        </w:rPr>
      </w:pPr>
    </w:p>
    <w:p w14:paraId="135FEB5C" w14:textId="7F1C3BDD" w:rsidR="003B0328" w:rsidRPr="00EC3F50" w:rsidRDefault="003B0328" w:rsidP="003B0328">
      <w:pPr>
        <w:widowControl/>
        <w:ind w:firstLine="720"/>
        <w:jc w:val="both"/>
        <w:rPr>
          <w:rFonts w:ascii="Arial" w:eastAsia="Yu Gothic UI" w:hAnsi="Arial" w:cs="Arial"/>
          <w:sz w:val="28"/>
          <w:szCs w:val="28"/>
        </w:rPr>
      </w:pPr>
      <w:r w:rsidRPr="00EC3F50">
        <w:rPr>
          <w:rFonts w:ascii="Arial" w:eastAsia="Yu Gothic UI" w:hAnsi="Arial" w:cs="Arial"/>
          <w:sz w:val="28"/>
          <w:szCs w:val="28"/>
        </w:rPr>
        <w:t>[</w:t>
      </w:r>
      <w:bookmarkStart w:id="1" w:name="_Hlk110252527"/>
      <w:r w:rsidRPr="00EC3F50">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1"/>
      <w:r w:rsidRPr="00EC3F50">
        <w:rPr>
          <w:rFonts w:ascii="Arial" w:eastAsia="Calibri" w:hAnsi="Arial" w:cs="Arial"/>
          <w:sz w:val="28"/>
          <w:szCs w:val="28"/>
        </w:rPr>
        <w:t xml:space="preserve"> using either: (a) a fixed shotgun shell; or (b) a projectile or number of ball shot and explosive charge are loaded individually for each shot discharged.  </w:t>
      </w:r>
      <w:r w:rsidR="001821BA">
        <w:rPr>
          <w:rFonts w:ascii="Arial" w:eastAsia="Calibri" w:hAnsi="Arial" w:cs="Arial"/>
          <w:sz w:val="28"/>
          <w:szCs w:val="28"/>
        </w:rPr>
        <w:t>(</w:t>
      </w:r>
      <w:r w:rsidR="001821BA" w:rsidRPr="00BA7DB3">
        <w:rPr>
          <w:rFonts w:ascii="Arial" w:eastAsia="Calibri" w:hAnsi="Arial" w:cs="Arial"/>
          <w:i/>
          <w:iCs/>
          <w:sz w:val="28"/>
          <w:szCs w:val="28"/>
          <w:u w:val="single"/>
        </w:rPr>
        <w:t>Add if in issue:</w:t>
      </w:r>
      <w:r w:rsidR="001821BA">
        <w:rPr>
          <w:rFonts w:ascii="Arial" w:eastAsia="Calibri" w:hAnsi="Arial" w:cs="Arial"/>
          <w:sz w:val="28"/>
          <w:szCs w:val="28"/>
        </w:rPr>
        <w:t xml:space="preserve"> </w:t>
      </w:r>
      <w:r w:rsidRPr="00EC3F50">
        <w:rPr>
          <w:rFonts w:ascii="Arial" w:eastAsia="Calibri" w:hAnsi="Arial" w:cs="Arial"/>
          <w:sz w:val="28"/>
          <w:szCs w:val="28"/>
        </w:rPr>
        <w:t>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1821BA">
        <w:rPr>
          <w:rFonts w:ascii="Arial" w:eastAsia="Calibri" w:hAnsi="Arial" w:cs="Arial"/>
          <w:sz w:val="28"/>
          <w:szCs w:val="28"/>
        </w:rPr>
        <w:t>)</w:t>
      </w:r>
      <w:r w:rsidRPr="00EC3F50">
        <w:rPr>
          <w:rFonts w:ascii="Arial" w:eastAsia="Calibri" w:hAnsi="Arial" w:cs="Arial"/>
          <w:sz w:val="28"/>
          <w:szCs w:val="28"/>
        </w:rPr>
        <w:t>.</w:t>
      </w:r>
      <w:r w:rsidRPr="00EC3F50">
        <w:rPr>
          <w:rStyle w:val="FootnoteReference"/>
          <w:rFonts w:ascii="Arial" w:eastAsia="Yu Gothic UI" w:hAnsi="Arial" w:cs="Arial"/>
          <w:sz w:val="28"/>
          <w:szCs w:val="28"/>
          <w:vertAlign w:val="superscript"/>
        </w:rPr>
        <w:footnoteReference w:id="5"/>
      </w:r>
      <w:r w:rsidRPr="00EC3F50">
        <w:rPr>
          <w:rFonts w:ascii="Arial" w:eastAsia="Yu Gothic UI" w:hAnsi="Arial" w:cs="Arial"/>
          <w:sz w:val="28"/>
          <w:szCs w:val="28"/>
        </w:rPr>
        <w:t>]</w:t>
      </w:r>
    </w:p>
    <w:p w14:paraId="4F6E26CB" w14:textId="77777777" w:rsidR="0095332D" w:rsidRPr="00470BDC" w:rsidRDefault="0095332D">
      <w:pPr>
        <w:jc w:val="both"/>
        <w:rPr>
          <w:rFonts w:ascii="Arial" w:eastAsia="Yu Gothic UI" w:hAnsi="Arial" w:cs="Arial"/>
          <w:sz w:val="28"/>
          <w:szCs w:val="28"/>
        </w:rPr>
      </w:pPr>
    </w:p>
    <w:p w14:paraId="4FD32B90" w14:textId="0C15061A" w:rsidR="0095332D" w:rsidRPr="00470BDC" w:rsidRDefault="0085648C">
      <w:pPr>
        <w:ind w:firstLine="720"/>
        <w:jc w:val="both"/>
        <w:rPr>
          <w:rFonts w:ascii="Arial" w:eastAsia="Yu Gothic UI" w:hAnsi="Arial" w:cs="Arial"/>
          <w:sz w:val="28"/>
          <w:szCs w:val="28"/>
        </w:rPr>
      </w:pPr>
      <w:r>
        <w:rPr>
          <w:rFonts w:ascii="Arial" w:eastAsia="Yu Gothic UI" w:hAnsi="Arial" w:cs="Arial"/>
          <w:sz w:val="28"/>
          <w:szCs w:val="28"/>
        </w:rPr>
        <w:br w:type="page"/>
      </w:r>
      <w:r w:rsidR="0095332D" w:rsidRPr="00470BDC">
        <w:rPr>
          <w:rFonts w:ascii="Arial" w:eastAsia="Yu Gothic UI" w:hAnsi="Arial" w:cs="Arial"/>
          <w:sz w:val="28"/>
          <w:szCs w:val="28"/>
        </w:rPr>
        <w:lastRenderedPageBreak/>
        <w:t xml:space="preserve">Under this count, the </w:t>
      </w:r>
      <w:bookmarkStart w:id="2" w:name="_Hlk120702538"/>
      <w:r w:rsidR="003B0328">
        <w:rPr>
          <w:rFonts w:ascii="Arial" w:eastAsia="Yu Gothic UI" w:hAnsi="Arial" w:cs="Arial"/>
          <w:sz w:val="28"/>
          <w:szCs w:val="28"/>
        </w:rPr>
        <w:t>(</w:t>
      </w:r>
      <w:r w:rsidR="003B0328" w:rsidRPr="003B0328">
        <w:rPr>
          <w:rFonts w:ascii="Arial" w:eastAsia="Yu Gothic UI" w:hAnsi="Arial" w:cs="Arial"/>
          <w:i/>
          <w:iCs/>
          <w:sz w:val="28"/>
          <w:szCs w:val="28"/>
          <w:u w:val="single"/>
        </w:rPr>
        <w:t>specify</w:t>
      </w:r>
      <w:r w:rsidR="003B0328">
        <w:rPr>
          <w:rFonts w:ascii="Arial" w:eastAsia="Yu Gothic UI" w:hAnsi="Arial" w:cs="Arial"/>
          <w:sz w:val="28"/>
          <w:szCs w:val="28"/>
        </w:rPr>
        <w:t>)</w:t>
      </w:r>
      <w:r w:rsidR="0095332D" w:rsidRPr="00470BDC">
        <w:rPr>
          <w:rFonts w:ascii="Arial" w:eastAsia="Yu Gothic UI" w:hAnsi="Arial" w:cs="Arial"/>
          <w:sz w:val="28"/>
          <w:szCs w:val="28"/>
        </w:rPr>
        <w:t xml:space="preserve"> </w:t>
      </w:r>
      <w:bookmarkEnd w:id="2"/>
      <w:r w:rsidR="0095332D" w:rsidRPr="00470BDC">
        <w:rPr>
          <w:rFonts w:ascii="Arial" w:eastAsia="Yu Gothic UI" w:hAnsi="Arial" w:cs="Arial"/>
          <w:sz w:val="28"/>
          <w:szCs w:val="28"/>
        </w:rPr>
        <w:t xml:space="preserve">need not be loaded but it must be operable.  To be operable, the </w:t>
      </w:r>
      <w:r w:rsidR="003B0328">
        <w:rPr>
          <w:rFonts w:ascii="Arial" w:eastAsia="Yu Gothic UI" w:hAnsi="Arial" w:cs="Arial"/>
          <w:sz w:val="28"/>
          <w:szCs w:val="28"/>
        </w:rPr>
        <w:t>(</w:t>
      </w:r>
      <w:r w:rsidR="003B0328" w:rsidRPr="003B0328">
        <w:rPr>
          <w:rFonts w:ascii="Arial" w:eastAsia="Yu Gothic UI" w:hAnsi="Arial" w:cs="Arial"/>
          <w:i/>
          <w:iCs/>
          <w:sz w:val="28"/>
          <w:szCs w:val="28"/>
          <w:u w:val="single"/>
        </w:rPr>
        <w:t>specify</w:t>
      </w:r>
      <w:r w:rsidR="003B0328">
        <w:rPr>
          <w:rFonts w:ascii="Arial" w:eastAsia="Yu Gothic UI" w:hAnsi="Arial" w:cs="Arial"/>
          <w:sz w:val="28"/>
          <w:szCs w:val="28"/>
        </w:rPr>
        <w:t>)</w:t>
      </w:r>
      <w:r w:rsidR="003B0328" w:rsidRPr="00470BDC">
        <w:rPr>
          <w:rFonts w:ascii="Arial" w:eastAsia="Yu Gothic UI" w:hAnsi="Arial" w:cs="Arial"/>
          <w:sz w:val="28"/>
          <w:szCs w:val="28"/>
        </w:rPr>
        <w:t xml:space="preserve"> </w:t>
      </w:r>
      <w:r w:rsidR="0095332D" w:rsidRPr="00470BDC">
        <w:rPr>
          <w:rFonts w:ascii="Arial" w:eastAsia="Yu Gothic UI" w:hAnsi="Arial" w:cs="Arial"/>
          <w:sz w:val="28"/>
          <w:szCs w:val="28"/>
        </w:rPr>
        <w:t>must be capable of discharging ammunition.</w:t>
      </w:r>
      <w:r w:rsidR="00335A1C">
        <w:rPr>
          <w:rFonts w:ascii="Arial" w:eastAsia="Yu Gothic UI" w:hAnsi="Arial" w:cs="Arial"/>
          <w:sz w:val="28"/>
          <w:szCs w:val="28"/>
        </w:rPr>
        <w:t xml:space="preserve"> </w:t>
      </w:r>
      <w:r w:rsidR="00232B5C">
        <w:rPr>
          <w:rFonts w:ascii="Arial" w:eastAsia="Yu Gothic UI" w:hAnsi="Arial" w:cs="Arial"/>
          <w:sz w:val="28"/>
          <w:szCs w:val="28"/>
        </w:rPr>
        <w:t xml:space="preserve">A person who possesses </w:t>
      </w:r>
      <w:r w:rsidR="00AB0FA6">
        <w:rPr>
          <w:rFonts w:ascii="Arial" w:eastAsia="Yu Gothic UI" w:hAnsi="Arial" w:cs="Arial"/>
          <w:sz w:val="28"/>
          <w:szCs w:val="28"/>
        </w:rPr>
        <w:t>a (</w:t>
      </w:r>
      <w:r w:rsidR="00AB0FA6" w:rsidRPr="00AB0FA6">
        <w:rPr>
          <w:rFonts w:ascii="Arial" w:eastAsia="Yu Gothic UI" w:hAnsi="Arial" w:cs="Arial"/>
          <w:i/>
          <w:iCs/>
          <w:sz w:val="28"/>
          <w:szCs w:val="28"/>
          <w:u w:val="single"/>
        </w:rPr>
        <w:t>specify</w:t>
      </w:r>
      <w:r w:rsidR="00AB0FA6">
        <w:rPr>
          <w:rFonts w:ascii="Arial" w:eastAsia="Yu Gothic UI" w:hAnsi="Arial" w:cs="Arial"/>
          <w:sz w:val="28"/>
          <w:szCs w:val="28"/>
        </w:rPr>
        <w:t>)</w:t>
      </w:r>
      <w:r w:rsidR="00335A1C">
        <w:rPr>
          <w:rFonts w:ascii="Arial" w:eastAsia="Yu Gothic UI" w:hAnsi="Arial" w:cs="Arial"/>
          <w:sz w:val="28"/>
          <w:szCs w:val="28"/>
        </w:rPr>
        <w:t xml:space="preserve"> is not required to know that the (</w:t>
      </w:r>
      <w:r w:rsidR="00335A1C" w:rsidRPr="00335A1C">
        <w:rPr>
          <w:rFonts w:ascii="Arial" w:eastAsia="Yu Gothic UI" w:hAnsi="Arial" w:cs="Arial"/>
          <w:i/>
          <w:iCs/>
          <w:sz w:val="28"/>
          <w:szCs w:val="28"/>
          <w:u w:val="single"/>
        </w:rPr>
        <w:t>specify</w:t>
      </w:r>
      <w:r w:rsidR="00335A1C">
        <w:rPr>
          <w:rFonts w:ascii="Arial" w:eastAsia="Yu Gothic UI" w:hAnsi="Arial" w:cs="Arial"/>
          <w:sz w:val="28"/>
          <w:szCs w:val="28"/>
        </w:rPr>
        <w:t>) is operable.</w:t>
      </w:r>
      <w:r w:rsidR="00DC16A7" w:rsidRPr="00DC16A7">
        <w:rPr>
          <w:rStyle w:val="FootnoteReference"/>
          <w:rFonts w:ascii="Arial" w:eastAsia="Yu Gothic UI" w:hAnsi="Arial" w:cs="Arial"/>
          <w:sz w:val="28"/>
          <w:szCs w:val="28"/>
          <w:vertAlign w:val="superscript"/>
        </w:rPr>
        <w:t xml:space="preserve"> </w:t>
      </w:r>
      <w:r w:rsidR="00DC16A7" w:rsidRPr="00470BDC">
        <w:rPr>
          <w:rStyle w:val="FootnoteReference"/>
          <w:rFonts w:ascii="Arial" w:eastAsia="Yu Gothic UI" w:hAnsi="Arial" w:cs="Arial"/>
          <w:sz w:val="28"/>
          <w:szCs w:val="28"/>
          <w:vertAlign w:val="superscript"/>
        </w:rPr>
        <w:footnoteReference w:id="6"/>
      </w:r>
    </w:p>
    <w:p w14:paraId="733B09C7" w14:textId="77777777" w:rsidR="0095332D" w:rsidRPr="00470BDC" w:rsidRDefault="0095332D">
      <w:pPr>
        <w:jc w:val="both"/>
        <w:rPr>
          <w:rFonts w:ascii="Arial" w:eastAsia="Yu Gothic UI" w:hAnsi="Arial" w:cs="Arial"/>
          <w:sz w:val="28"/>
          <w:szCs w:val="28"/>
        </w:rPr>
      </w:pPr>
    </w:p>
    <w:p w14:paraId="3AF308A9" w14:textId="77777777" w:rsidR="0095332D" w:rsidRPr="00470BDC" w:rsidRDefault="0095332D">
      <w:pPr>
        <w:ind w:firstLine="720"/>
        <w:jc w:val="both"/>
        <w:rPr>
          <w:rFonts w:ascii="Arial" w:eastAsia="Yu Gothic UI" w:hAnsi="Arial" w:cs="Arial"/>
          <w:sz w:val="28"/>
          <w:szCs w:val="28"/>
        </w:rPr>
      </w:pPr>
      <w:r w:rsidRPr="00470BDC">
        <w:rPr>
          <w:rFonts w:ascii="Arial" w:eastAsia="Yu Gothic UI" w:hAnsi="Arial" w:cs="Arial"/>
          <w:sz w:val="28"/>
          <w:szCs w:val="28"/>
        </w:rPr>
        <w:t>POSSESS means to have physical possession or otherwise to exercise of dominion or control over tangible property.</w:t>
      </w:r>
      <w:r w:rsidRPr="00470BDC">
        <w:rPr>
          <w:rStyle w:val="FootnoteReference"/>
          <w:rFonts w:ascii="Arial" w:eastAsia="Yu Gothic UI" w:hAnsi="Arial" w:cs="Arial"/>
          <w:sz w:val="28"/>
          <w:szCs w:val="28"/>
          <w:vertAlign w:val="superscript"/>
        </w:rPr>
        <w:footnoteReference w:id="7"/>
      </w:r>
    </w:p>
    <w:p w14:paraId="18A00E7E" w14:textId="77777777" w:rsidR="0095332D" w:rsidRPr="00470BDC" w:rsidRDefault="0095332D">
      <w:pPr>
        <w:jc w:val="both"/>
        <w:rPr>
          <w:rFonts w:ascii="Arial" w:eastAsia="Yu Gothic UI" w:hAnsi="Arial" w:cs="Arial"/>
          <w:sz w:val="28"/>
          <w:szCs w:val="28"/>
        </w:rPr>
      </w:pPr>
    </w:p>
    <w:p w14:paraId="4F58BC1C" w14:textId="77777777" w:rsidR="0095332D" w:rsidRPr="00470BDC" w:rsidRDefault="0095332D">
      <w:pPr>
        <w:ind w:firstLine="720"/>
        <w:jc w:val="both"/>
        <w:rPr>
          <w:rFonts w:ascii="Arial" w:eastAsia="Yu Gothic UI" w:hAnsi="Arial" w:cs="Arial"/>
          <w:sz w:val="28"/>
          <w:szCs w:val="28"/>
        </w:rPr>
      </w:pPr>
      <w:r w:rsidRPr="00470BDC">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1A354AD3" w14:textId="77777777" w:rsidR="0095332D" w:rsidRPr="00470BDC" w:rsidRDefault="0095332D">
      <w:pPr>
        <w:jc w:val="both"/>
        <w:rPr>
          <w:rFonts w:ascii="Arial" w:eastAsia="Yu Gothic UI" w:hAnsi="Arial" w:cs="Arial"/>
          <w:sz w:val="28"/>
          <w:szCs w:val="28"/>
        </w:rPr>
      </w:pPr>
    </w:p>
    <w:p w14:paraId="09845387" w14:textId="386DBBA3" w:rsidR="0095332D" w:rsidRPr="00470BDC" w:rsidRDefault="0095332D" w:rsidP="00071A89">
      <w:pPr>
        <w:numPr>
          <w:ilvl w:val="0"/>
          <w:numId w:val="1"/>
        </w:numPr>
        <w:tabs>
          <w:tab w:val="left" w:pos="-1440"/>
        </w:tabs>
        <w:jc w:val="both"/>
        <w:rPr>
          <w:rFonts w:ascii="Arial" w:eastAsia="Yu Gothic UI" w:hAnsi="Arial" w:cs="Arial"/>
          <w:sz w:val="28"/>
          <w:szCs w:val="28"/>
        </w:rPr>
      </w:pPr>
      <w:r w:rsidRPr="00470BDC">
        <w:rPr>
          <w:rFonts w:ascii="Arial" w:eastAsia="Yu Gothic UI" w:hAnsi="Arial" w:cs="Arial"/>
          <w:sz w:val="28"/>
          <w:szCs w:val="28"/>
        </w:rPr>
        <w:t xml:space="preserve">That on or about </w:t>
      </w:r>
      <w:r w:rsidRPr="00470BDC">
        <w:rPr>
          <w:rFonts w:ascii="Arial" w:eastAsia="Yu Gothic UI" w:hAnsi="Arial" w:cs="Arial"/>
          <w:sz w:val="28"/>
          <w:szCs w:val="28"/>
          <w:u w:val="single"/>
        </w:rPr>
        <w:t xml:space="preserve">  (</w:t>
      </w:r>
      <w:r w:rsidRPr="00470BDC">
        <w:rPr>
          <w:rFonts w:ascii="Arial" w:eastAsia="Yu Gothic UI" w:hAnsi="Arial" w:cs="Arial"/>
          <w:i/>
          <w:iCs/>
          <w:sz w:val="28"/>
          <w:szCs w:val="28"/>
          <w:u w:val="single"/>
        </w:rPr>
        <w:t>date</w:t>
      </w:r>
      <w:r w:rsidRPr="00470BDC">
        <w:rPr>
          <w:rFonts w:ascii="Arial" w:eastAsia="Yu Gothic UI" w:hAnsi="Arial" w:cs="Arial"/>
          <w:sz w:val="28"/>
          <w:szCs w:val="28"/>
          <w:u w:val="single"/>
        </w:rPr>
        <w:t xml:space="preserve">)  </w:t>
      </w:r>
      <w:r w:rsidRPr="00470BDC">
        <w:rPr>
          <w:rFonts w:ascii="Arial" w:eastAsia="Yu Gothic UI" w:hAnsi="Arial" w:cs="Arial"/>
          <w:sz w:val="28"/>
          <w:szCs w:val="28"/>
        </w:rPr>
        <w:t>, in the county of</w:t>
      </w:r>
      <w:r w:rsidRPr="00470BDC">
        <w:rPr>
          <w:rFonts w:ascii="Arial" w:eastAsia="Yu Gothic UI" w:hAnsi="Arial" w:cs="Arial"/>
          <w:i/>
          <w:iCs/>
          <w:sz w:val="28"/>
          <w:szCs w:val="28"/>
        </w:rPr>
        <w:t xml:space="preserve"> </w:t>
      </w:r>
      <w:r w:rsidRPr="00470BDC">
        <w:rPr>
          <w:rFonts w:ascii="Arial" w:eastAsia="Yu Gothic UI" w:hAnsi="Arial" w:cs="Arial"/>
          <w:i/>
          <w:iCs/>
          <w:sz w:val="28"/>
          <w:szCs w:val="28"/>
          <w:u w:val="single"/>
        </w:rPr>
        <w:t>county,</w:t>
      </w:r>
      <w:r w:rsidRPr="00470BDC">
        <w:rPr>
          <w:rFonts w:ascii="Arial" w:eastAsia="Yu Gothic UI" w:hAnsi="Arial" w:cs="Arial"/>
          <w:i/>
          <w:iCs/>
          <w:sz w:val="28"/>
          <w:szCs w:val="28"/>
        </w:rPr>
        <w:t xml:space="preserve"> </w:t>
      </w:r>
      <w:r w:rsidRPr="00470BDC">
        <w:rPr>
          <w:rFonts w:ascii="Arial" w:eastAsia="Yu Gothic UI" w:hAnsi="Arial" w:cs="Arial"/>
          <w:sz w:val="28"/>
          <w:szCs w:val="28"/>
        </w:rPr>
        <w:t xml:space="preserve"> the defendant, </w:t>
      </w:r>
      <w:r w:rsidRPr="00470BDC">
        <w:rPr>
          <w:rFonts w:ascii="Arial" w:eastAsia="Yu Gothic UI" w:hAnsi="Arial" w:cs="Arial"/>
          <w:sz w:val="28"/>
          <w:szCs w:val="28"/>
          <w:u w:val="single"/>
        </w:rPr>
        <w:t xml:space="preserve"> (</w:t>
      </w:r>
      <w:r w:rsidRPr="00470BDC">
        <w:rPr>
          <w:rFonts w:ascii="Arial" w:eastAsia="Yu Gothic UI" w:hAnsi="Arial" w:cs="Arial"/>
          <w:i/>
          <w:iCs/>
          <w:sz w:val="28"/>
          <w:szCs w:val="28"/>
          <w:u w:val="single"/>
        </w:rPr>
        <w:t>defendant's name</w:t>
      </w:r>
      <w:r w:rsidRPr="00470BDC">
        <w:rPr>
          <w:rFonts w:ascii="Arial" w:eastAsia="Yu Gothic UI" w:hAnsi="Arial" w:cs="Arial"/>
          <w:sz w:val="28"/>
          <w:szCs w:val="28"/>
          <w:u w:val="single"/>
        </w:rPr>
        <w:t>)</w:t>
      </w:r>
      <w:r w:rsidRPr="00470BDC">
        <w:rPr>
          <w:rFonts w:ascii="Arial" w:eastAsia="Yu Gothic UI" w:hAnsi="Arial" w:cs="Arial"/>
          <w:sz w:val="28"/>
          <w:szCs w:val="28"/>
        </w:rPr>
        <w:t xml:space="preserve">, possessed an operable </w:t>
      </w:r>
      <w:r w:rsidR="003B0328">
        <w:rPr>
          <w:rFonts w:ascii="Arial" w:eastAsia="Yu Gothic UI" w:hAnsi="Arial" w:cs="Arial"/>
          <w:sz w:val="28"/>
          <w:szCs w:val="28"/>
        </w:rPr>
        <w:t>(</w:t>
      </w:r>
      <w:r w:rsidR="003B0328" w:rsidRPr="003B0328">
        <w:rPr>
          <w:rFonts w:ascii="Arial" w:eastAsia="Yu Gothic UI" w:hAnsi="Arial" w:cs="Arial"/>
          <w:i/>
          <w:iCs/>
          <w:sz w:val="28"/>
          <w:szCs w:val="28"/>
          <w:u w:val="single"/>
        </w:rPr>
        <w:t>specify</w:t>
      </w:r>
      <w:r w:rsidR="003B0328">
        <w:rPr>
          <w:rFonts w:ascii="Arial" w:eastAsia="Yu Gothic UI" w:hAnsi="Arial" w:cs="Arial"/>
          <w:sz w:val="28"/>
          <w:szCs w:val="28"/>
        </w:rPr>
        <w:t>).</w:t>
      </w:r>
    </w:p>
    <w:p w14:paraId="34851179" w14:textId="77777777" w:rsidR="0095332D" w:rsidRPr="00470BDC" w:rsidRDefault="0095332D">
      <w:pPr>
        <w:jc w:val="both"/>
        <w:rPr>
          <w:rFonts w:ascii="Arial" w:eastAsia="Yu Gothic UI" w:hAnsi="Arial" w:cs="Arial"/>
          <w:sz w:val="28"/>
          <w:szCs w:val="28"/>
        </w:rPr>
      </w:pPr>
    </w:p>
    <w:p w14:paraId="6FFC27F8" w14:textId="654D10EF" w:rsidR="0095332D" w:rsidRPr="00470BDC" w:rsidRDefault="0095332D" w:rsidP="00071A89">
      <w:pPr>
        <w:numPr>
          <w:ilvl w:val="0"/>
          <w:numId w:val="1"/>
        </w:numPr>
        <w:jc w:val="both"/>
        <w:rPr>
          <w:rFonts w:ascii="Arial" w:eastAsia="Yu Gothic UI" w:hAnsi="Arial" w:cs="Arial"/>
          <w:sz w:val="28"/>
          <w:szCs w:val="28"/>
        </w:rPr>
      </w:pPr>
      <w:r w:rsidRPr="00470BDC">
        <w:rPr>
          <w:rFonts w:ascii="Arial" w:eastAsia="Yu Gothic UI" w:hAnsi="Arial" w:cs="Arial"/>
          <w:sz w:val="28"/>
          <w:szCs w:val="28"/>
        </w:rPr>
        <w:t xml:space="preserve">That the defendant  had been certified not suitable to possess such </w:t>
      </w:r>
      <w:r w:rsidR="003B0328">
        <w:rPr>
          <w:rFonts w:ascii="Arial" w:eastAsia="Yu Gothic UI" w:hAnsi="Arial" w:cs="Arial"/>
          <w:sz w:val="28"/>
          <w:szCs w:val="28"/>
        </w:rPr>
        <w:t>(</w:t>
      </w:r>
      <w:r w:rsidR="003B0328" w:rsidRPr="003B0328">
        <w:rPr>
          <w:rFonts w:ascii="Arial" w:eastAsia="Yu Gothic UI" w:hAnsi="Arial" w:cs="Arial"/>
          <w:i/>
          <w:iCs/>
          <w:sz w:val="28"/>
          <w:szCs w:val="28"/>
          <w:u w:val="single"/>
        </w:rPr>
        <w:t>specify</w:t>
      </w:r>
      <w:r w:rsidR="003B0328">
        <w:rPr>
          <w:rFonts w:ascii="Arial" w:eastAsia="Yu Gothic UI" w:hAnsi="Arial" w:cs="Arial"/>
          <w:sz w:val="28"/>
          <w:szCs w:val="28"/>
        </w:rPr>
        <w:t>)</w:t>
      </w:r>
      <w:r w:rsidR="00784E88">
        <w:rPr>
          <w:rFonts w:ascii="Arial" w:eastAsia="Yu Gothic UI" w:hAnsi="Arial" w:cs="Arial"/>
          <w:sz w:val="28"/>
          <w:szCs w:val="28"/>
        </w:rPr>
        <w:t>,</w:t>
      </w:r>
      <w:r w:rsidR="003B0328" w:rsidRPr="00470BDC">
        <w:rPr>
          <w:rFonts w:ascii="Arial" w:eastAsia="Yu Gothic UI" w:hAnsi="Arial" w:cs="Arial"/>
          <w:sz w:val="28"/>
          <w:szCs w:val="28"/>
        </w:rPr>
        <w:t xml:space="preserve"> </w:t>
      </w:r>
      <w:r w:rsidRPr="00470BDC">
        <w:rPr>
          <w:rFonts w:ascii="Arial" w:eastAsia="Yu Gothic UI" w:hAnsi="Arial" w:cs="Arial"/>
          <w:sz w:val="28"/>
          <w:szCs w:val="28"/>
        </w:rPr>
        <w:t>and</w:t>
      </w:r>
    </w:p>
    <w:p w14:paraId="37964D34" w14:textId="77777777" w:rsidR="0095332D" w:rsidRPr="00470BDC" w:rsidRDefault="0095332D">
      <w:pPr>
        <w:jc w:val="both"/>
        <w:rPr>
          <w:rFonts w:ascii="Arial" w:eastAsia="Yu Gothic UI" w:hAnsi="Arial" w:cs="Arial"/>
          <w:sz w:val="28"/>
          <w:szCs w:val="28"/>
        </w:rPr>
      </w:pPr>
    </w:p>
    <w:p w14:paraId="1C1CA453" w14:textId="77777777" w:rsidR="0095332D" w:rsidRPr="00470BDC" w:rsidRDefault="0095332D">
      <w:pPr>
        <w:jc w:val="both"/>
        <w:rPr>
          <w:rFonts w:ascii="Arial" w:eastAsia="Yu Gothic UI" w:hAnsi="Arial" w:cs="Arial"/>
          <w:sz w:val="28"/>
          <w:szCs w:val="28"/>
        </w:rPr>
        <w:sectPr w:rsidR="0095332D" w:rsidRPr="00470BDC">
          <w:type w:val="continuous"/>
          <w:pgSz w:w="12240" w:h="15840"/>
          <w:pgMar w:top="1440" w:right="2160" w:bottom="1440" w:left="2160" w:header="1440" w:footer="1440" w:gutter="0"/>
          <w:cols w:space="720"/>
          <w:noEndnote/>
        </w:sectPr>
      </w:pPr>
    </w:p>
    <w:p w14:paraId="11D8D53A" w14:textId="1617BBC7" w:rsidR="0095332D" w:rsidRPr="00470BDC" w:rsidRDefault="0095332D" w:rsidP="00071A89">
      <w:pPr>
        <w:numPr>
          <w:ilvl w:val="0"/>
          <w:numId w:val="1"/>
        </w:numPr>
        <w:jc w:val="both"/>
        <w:rPr>
          <w:rFonts w:ascii="Arial" w:eastAsia="Yu Gothic UI" w:hAnsi="Arial" w:cs="Arial"/>
          <w:sz w:val="28"/>
          <w:szCs w:val="28"/>
        </w:rPr>
      </w:pPr>
      <w:r w:rsidRPr="00470BDC">
        <w:rPr>
          <w:rFonts w:ascii="Arial" w:eastAsia="Yu Gothic UI" w:hAnsi="Arial" w:cs="Arial"/>
          <w:sz w:val="28"/>
          <w:szCs w:val="28"/>
        </w:rPr>
        <w:t xml:space="preserve">That the defendant refused to yield possession of such </w:t>
      </w:r>
      <w:r w:rsidR="00784E88">
        <w:rPr>
          <w:rFonts w:ascii="Arial" w:eastAsia="Yu Gothic UI" w:hAnsi="Arial" w:cs="Arial"/>
          <w:sz w:val="28"/>
          <w:szCs w:val="28"/>
        </w:rPr>
        <w:t>(</w:t>
      </w:r>
      <w:r w:rsidR="00784E88" w:rsidRPr="003B0328">
        <w:rPr>
          <w:rFonts w:ascii="Arial" w:eastAsia="Yu Gothic UI" w:hAnsi="Arial" w:cs="Arial"/>
          <w:i/>
          <w:iCs/>
          <w:sz w:val="28"/>
          <w:szCs w:val="28"/>
          <w:u w:val="single"/>
        </w:rPr>
        <w:t>specify</w:t>
      </w:r>
      <w:r w:rsidR="00784E88">
        <w:rPr>
          <w:rFonts w:ascii="Arial" w:eastAsia="Yu Gothic UI" w:hAnsi="Arial" w:cs="Arial"/>
          <w:sz w:val="28"/>
          <w:szCs w:val="28"/>
        </w:rPr>
        <w:t>)</w:t>
      </w:r>
      <w:r w:rsidR="00784E88" w:rsidRPr="00470BDC">
        <w:rPr>
          <w:rFonts w:ascii="Arial" w:eastAsia="Yu Gothic UI" w:hAnsi="Arial" w:cs="Arial"/>
          <w:sz w:val="28"/>
          <w:szCs w:val="28"/>
        </w:rPr>
        <w:t xml:space="preserve"> </w:t>
      </w:r>
      <w:r w:rsidRPr="00470BDC">
        <w:rPr>
          <w:rFonts w:ascii="Arial" w:eastAsia="Yu Gothic UI" w:hAnsi="Arial" w:cs="Arial"/>
          <w:sz w:val="28"/>
          <w:szCs w:val="28"/>
        </w:rPr>
        <w:t>upon the demand of a police officer.</w:t>
      </w:r>
    </w:p>
    <w:p w14:paraId="4678DA14" w14:textId="77777777" w:rsidR="0095332D" w:rsidRPr="00470BDC" w:rsidRDefault="0095332D">
      <w:pPr>
        <w:jc w:val="both"/>
        <w:rPr>
          <w:rFonts w:ascii="Arial" w:eastAsia="Yu Gothic UI" w:hAnsi="Arial" w:cs="Arial"/>
          <w:sz w:val="28"/>
          <w:szCs w:val="28"/>
        </w:rPr>
      </w:pPr>
    </w:p>
    <w:p w14:paraId="2552FA19" w14:textId="77777777" w:rsidR="0095332D" w:rsidRPr="00470BDC" w:rsidRDefault="0095332D">
      <w:pPr>
        <w:ind w:firstLine="720"/>
        <w:jc w:val="both"/>
        <w:rPr>
          <w:rFonts w:ascii="Arial" w:hAnsi="Arial" w:cs="Arial"/>
          <w:sz w:val="28"/>
          <w:szCs w:val="28"/>
        </w:rPr>
      </w:pPr>
      <w:r w:rsidRPr="00470BDC">
        <w:rPr>
          <w:rFonts w:ascii="Arial" w:hAnsi="Arial" w:cs="Arial"/>
          <w:sz w:val="28"/>
          <w:szCs w:val="28"/>
        </w:rPr>
        <w:t>If you find the People have proven beyond a reasonable doubt each of those elements, you must find the defendant guilty of this crime.</w:t>
      </w:r>
    </w:p>
    <w:p w14:paraId="7B5159D6" w14:textId="77777777" w:rsidR="0095332D" w:rsidRPr="00470BDC" w:rsidRDefault="0095332D">
      <w:pPr>
        <w:jc w:val="both"/>
        <w:rPr>
          <w:rFonts w:ascii="Arial" w:hAnsi="Arial" w:cs="Arial"/>
          <w:sz w:val="28"/>
          <w:szCs w:val="28"/>
        </w:rPr>
      </w:pPr>
    </w:p>
    <w:p w14:paraId="700F6D3F" w14:textId="1FDF2DF7" w:rsidR="0095332D" w:rsidRPr="00470BDC" w:rsidRDefault="0095332D" w:rsidP="002E1265">
      <w:pPr>
        <w:ind w:firstLine="720"/>
        <w:jc w:val="both"/>
        <w:rPr>
          <w:rFonts w:ascii="Arial" w:eastAsia="Yu Gothic UI" w:hAnsi="Arial" w:cs="Arial"/>
          <w:sz w:val="28"/>
          <w:szCs w:val="28"/>
        </w:rPr>
      </w:pPr>
      <w:r w:rsidRPr="00470BDC">
        <w:rPr>
          <w:rFonts w:ascii="Arial" w:hAnsi="Arial" w:cs="Arial"/>
          <w:sz w:val="28"/>
          <w:szCs w:val="28"/>
        </w:rPr>
        <w:t xml:space="preserve">If you find the People have not proven beyond a reasonable doubt any one or more of those elements, you must find the </w:t>
      </w:r>
      <w:r w:rsidRPr="00470BDC">
        <w:rPr>
          <w:rFonts w:ascii="Arial" w:hAnsi="Arial" w:cs="Arial"/>
          <w:sz w:val="28"/>
          <w:szCs w:val="28"/>
        </w:rPr>
        <w:lastRenderedPageBreak/>
        <w:t>defendant not guilty of this crime.</w:t>
      </w:r>
    </w:p>
    <w:sectPr w:rsidR="0095332D" w:rsidRPr="00470BDC" w:rsidSect="0095332D">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18EB" w14:textId="77777777" w:rsidR="00D00530" w:rsidRDefault="00D00530" w:rsidP="0095332D">
      <w:r>
        <w:separator/>
      </w:r>
    </w:p>
  </w:endnote>
  <w:endnote w:type="continuationSeparator" w:id="0">
    <w:p w14:paraId="31AF580C" w14:textId="77777777" w:rsidR="00D00530" w:rsidRDefault="00D00530" w:rsidP="0095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3CD5" w14:textId="77777777" w:rsidR="00D00530" w:rsidRDefault="00D00530" w:rsidP="0095332D">
      <w:r>
        <w:separator/>
      </w:r>
    </w:p>
  </w:footnote>
  <w:footnote w:type="continuationSeparator" w:id="0">
    <w:p w14:paraId="08CC073B" w14:textId="77777777" w:rsidR="00D00530" w:rsidRDefault="00D00530" w:rsidP="0095332D">
      <w:r>
        <w:continuationSeparator/>
      </w:r>
    </w:p>
  </w:footnote>
  <w:footnote w:id="1">
    <w:p w14:paraId="5ADCC2F1" w14:textId="626D2834" w:rsidR="00534728" w:rsidRDefault="00534728" w:rsidP="0085648C">
      <w:pPr>
        <w:spacing w:after="240"/>
        <w:jc w:val="both"/>
      </w:pPr>
      <w:r>
        <w:rPr>
          <w:rStyle w:val="FootnoteReference"/>
        </w:rPr>
        <w:footnoteRef/>
      </w:r>
      <w:r>
        <w:t xml:space="preserve"> </w:t>
      </w:r>
      <w:r w:rsidR="00E928CF" w:rsidRPr="00D62B2C">
        <w:rPr>
          <w:rFonts w:ascii="Arial" w:eastAsia="Yu Gothic UI" w:hAnsi="Arial" w:cs="Arial"/>
          <w:sz w:val="22"/>
          <w:szCs w:val="22"/>
        </w:rPr>
        <w:t>The December 2022 revision was for the purpose of amending the definitions of “rifle” and “shotgun” to accord with the L. 2022, ch. 371, effective September 1, 2022</w:t>
      </w:r>
      <w:r w:rsidR="00E928CF">
        <w:rPr>
          <w:rFonts w:ascii="Arial" w:eastAsia="Yu Gothic UI" w:hAnsi="Arial" w:cs="Arial"/>
          <w:sz w:val="22"/>
          <w:szCs w:val="22"/>
        </w:rPr>
        <w:t>.</w:t>
      </w:r>
      <w:r w:rsidR="00E928CF" w:rsidRPr="00D62B2C">
        <w:rPr>
          <w:rFonts w:ascii="Arial" w:eastAsia="Yu Gothic UI" w:hAnsi="Arial" w:cs="Arial"/>
          <w:sz w:val="22"/>
          <w:szCs w:val="22"/>
        </w:rPr>
        <w:t xml:space="preserve"> This charge may be used for an offense committed on or after September 1, 1974</w:t>
      </w:r>
      <w:r w:rsidR="000A7C4D">
        <w:rPr>
          <w:rFonts w:ascii="Arial" w:eastAsia="Yu Gothic UI" w:hAnsi="Arial" w:cs="Arial"/>
          <w:sz w:val="22"/>
          <w:szCs w:val="22"/>
        </w:rPr>
        <w:t>,</w:t>
      </w:r>
      <w:r w:rsidR="00E928CF" w:rsidRPr="00D62B2C">
        <w:rPr>
          <w:rFonts w:ascii="Arial" w:eastAsia="Yu Gothic UI" w:hAnsi="Arial" w:cs="Arial"/>
          <w:sz w:val="22"/>
          <w:szCs w:val="22"/>
        </w:rPr>
        <w:t xml:space="preserve"> and before September 1, 2022</w:t>
      </w:r>
      <w:r w:rsidR="000A7C4D">
        <w:rPr>
          <w:rFonts w:ascii="Arial" w:eastAsia="Yu Gothic UI" w:hAnsi="Arial" w:cs="Arial"/>
          <w:sz w:val="22"/>
          <w:szCs w:val="22"/>
        </w:rPr>
        <w:t>,</w:t>
      </w:r>
      <w:r w:rsidR="00E928CF" w:rsidRPr="00D62B2C">
        <w:rPr>
          <w:rFonts w:ascii="Arial" w:eastAsia="Yu Gothic UI" w:hAnsi="Arial" w:cs="Arial"/>
          <w:sz w:val="22"/>
          <w:szCs w:val="22"/>
        </w:rPr>
        <w:t xml:space="preserve"> by substituting the prior definitions of “rifle” or “shotgun” that are reproduced in the footnote to each term.</w:t>
      </w:r>
    </w:p>
  </w:footnote>
  <w:footnote w:id="2">
    <w:p w14:paraId="24A84F13" w14:textId="77777777" w:rsidR="0095332D" w:rsidRPr="00470BDC" w:rsidRDefault="0095332D">
      <w:pPr>
        <w:spacing w:after="240"/>
        <w:jc w:val="both"/>
        <w:rPr>
          <w:rFonts w:ascii="Arial" w:hAnsi="Arial" w:cs="Arial"/>
          <w:sz w:val="22"/>
          <w:szCs w:val="22"/>
        </w:rPr>
      </w:pPr>
      <w:r>
        <w:rPr>
          <w:rStyle w:val="FootnoteReference"/>
          <w:sz w:val="22"/>
          <w:szCs w:val="22"/>
          <w:vertAlign w:val="superscript"/>
        </w:rPr>
        <w:footnoteRef/>
      </w:r>
      <w:r>
        <w:rPr>
          <w:sz w:val="22"/>
          <w:szCs w:val="22"/>
        </w:rPr>
        <w:t xml:space="preserve"> </w:t>
      </w:r>
      <w:r w:rsidRPr="00470BDC">
        <w:rPr>
          <w:rFonts w:ascii="Arial" w:hAnsi="Arial" w:cs="Arial"/>
          <w:sz w:val="22"/>
          <w:szCs w:val="22"/>
        </w:rPr>
        <w:t xml:space="preserve">At this point the statute reads: </w:t>
      </w:r>
      <w:r w:rsidRPr="00470BDC">
        <w:rPr>
          <w:rFonts w:ascii="Arial" w:hAnsi="Arial" w:cs="Arial"/>
          <w:sz w:val="22"/>
          <w:szCs w:val="22"/>
        </w:rPr>
        <w:sym w:font="WP TypographicSymbols" w:char="003F"/>
      </w:r>
      <w:r w:rsidRPr="00470BDC">
        <w:rPr>
          <w:rFonts w:ascii="Arial" w:hAnsi="Arial" w:cs="Arial"/>
          <w:sz w:val="22"/>
          <w:szCs w:val="22"/>
        </w:rPr>
        <w:t>as defined in subdivision sixteen of section 265.00.</w:t>
      </w:r>
      <w:r w:rsidRPr="00470BDC">
        <w:rPr>
          <w:rFonts w:ascii="Arial" w:hAnsi="Arial" w:cs="Arial"/>
          <w:sz w:val="22"/>
          <w:szCs w:val="22"/>
        </w:rPr>
        <w:sym w:font="WP TypographicSymbols" w:char="0040"/>
      </w:r>
      <w:r w:rsidRPr="00470BDC">
        <w:rPr>
          <w:rFonts w:ascii="Arial" w:hAnsi="Arial" w:cs="Arial"/>
          <w:sz w:val="22"/>
          <w:szCs w:val="22"/>
        </w:rPr>
        <w:t xml:space="preserve">  That portion has been omitted and that definition has been included below in the </w:t>
      </w:r>
      <w:r w:rsidRPr="00470BDC">
        <w:rPr>
          <w:rFonts w:ascii="Arial" w:hAnsi="Arial" w:cs="Arial"/>
          <w:sz w:val="22"/>
          <w:szCs w:val="22"/>
        </w:rPr>
        <w:sym w:font="WP TypographicSymbols" w:char="003F"/>
      </w:r>
      <w:r w:rsidRPr="00470BDC">
        <w:rPr>
          <w:rFonts w:ascii="Arial" w:hAnsi="Arial" w:cs="Arial"/>
          <w:sz w:val="22"/>
          <w:szCs w:val="22"/>
        </w:rPr>
        <w:t>definition</w:t>
      </w:r>
      <w:r w:rsidRPr="00470BDC">
        <w:rPr>
          <w:rFonts w:ascii="Arial" w:hAnsi="Arial" w:cs="Arial"/>
          <w:sz w:val="22"/>
          <w:szCs w:val="22"/>
        </w:rPr>
        <w:sym w:font="WP TypographicSymbols" w:char="0040"/>
      </w:r>
      <w:r w:rsidRPr="00470BDC">
        <w:rPr>
          <w:rFonts w:ascii="Arial" w:hAnsi="Arial" w:cs="Arial"/>
          <w:sz w:val="22"/>
          <w:szCs w:val="22"/>
        </w:rPr>
        <w:t xml:space="preserve"> section of the charge.</w:t>
      </w:r>
    </w:p>
  </w:footnote>
  <w:footnote w:id="3">
    <w:p w14:paraId="67EE5165" w14:textId="77777777" w:rsidR="0095332D" w:rsidRDefault="0095332D">
      <w:pPr>
        <w:spacing w:after="240"/>
        <w:jc w:val="both"/>
        <w:rPr>
          <w:sz w:val="22"/>
          <w:szCs w:val="22"/>
        </w:rPr>
      </w:pPr>
      <w:r w:rsidRPr="00470BDC">
        <w:rPr>
          <w:rStyle w:val="FootnoteReference"/>
          <w:rFonts w:ascii="Arial" w:hAnsi="Arial" w:cs="Arial"/>
          <w:sz w:val="22"/>
          <w:szCs w:val="22"/>
          <w:vertAlign w:val="superscript"/>
        </w:rPr>
        <w:footnoteRef/>
      </w:r>
      <w:r w:rsidRPr="00470BDC">
        <w:rPr>
          <w:rFonts w:ascii="Arial" w:hAnsi="Arial" w:cs="Arial"/>
          <w:sz w:val="22"/>
          <w:szCs w:val="22"/>
        </w:rPr>
        <w:t xml:space="preserve"> Penal Law  </w:t>
      </w:r>
      <w:r w:rsidRPr="00470BDC">
        <w:rPr>
          <w:rFonts w:ascii="Arial" w:hAnsi="Arial" w:cs="Arial"/>
          <w:sz w:val="22"/>
          <w:szCs w:val="22"/>
        </w:rPr>
        <w:sym w:font="WP TypographicSymbols" w:char="0027"/>
      </w:r>
      <w:r w:rsidRPr="00470BDC">
        <w:rPr>
          <w:rFonts w:ascii="Arial" w:hAnsi="Arial" w:cs="Arial"/>
          <w:sz w:val="22"/>
          <w:szCs w:val="22"/>
        </w:rPr>
        <w:t xml:space="preserve"> 265.00(16).</w:t>
      </w:r>
    </w:p>
  </w:footnote>
  <w:footnote w:id="4">
    <w:p w14:paraId="61D4E57D" w14:textId="77777777" w:rsidR="003B0328" w:rsidRPr="00F0520D" w:rsidRDefault="003B0328" w:rsidP="003B0328">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vertAlign w:val="superscript"/>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5">
    <w:p w14:paraId="3F74C7AC" w14:textId="77777777" w:rsidR="003B0328" w:rsidRPr="00F0520D" w:rsidRDefault="003B0328" w:rsidP="003B0328">
      <w:pPr>
        <w:spacing w:after="240"/>
        <w:ind w:firstLine="720"/>
        <w:jc w:val="both"/>
        <w:rPr>
          <w:rFonts w:ascii="Arial" w:eastAsia="Yu Gothic UI" w:hAnsi="Arial" w:cs="Arial"/>
          <w:sz w:val="22"/>
          <w:szCs w:val="22"/>
        </w:rPr>
      </w:pPr>
      <w:r w:rsidRPr="00F0520D">
        <w:rPr>
          <w:rStyle w:val="FootnoteReference"/>
          <w:rFonts w:ascii="Arial" w:eastAsia="Yu Gothic UI" w:hAnsi="Arial" w:cs="Arial"/>
          <w:sz w:val="22"/>
          <w:szCs w:val="22"/>
          <w:vertAlign w:val="superscript"/>
        </w:rPr>
        <w:footnoteRef/>
      </w:r>
      <w:r w:rsidRPr="00F0520D">
        <w:rPr>
          <w:rFonts w:ascii="Arial" w:eastAsia="Yu Gothic UI" w:hAnsi="Arial" w:cs="Arial"/>
          <w:sz w:val="22"/>
          <w:szCs w:val="22"/>
        </w:rPr>
        <w:t xml:space="preserve"> Penal Law </w:t>
      </w:r>
      <w:r w:rsidRPr="00F0520D">
        <w:rPr>
          <w:rFonts w:ascii="Arial" w:eastAsia="Yu Gothic UI" w:hAnsi="Arial" w:cs="Arial"/>
          <w:sz w:val="22"/>
          <w:szCs w:val="22"/>
        </w:rPr>
        <w:sym w:font="WP TypographicSymbols" w:char="0027"/>
      </w:r>
      <w:r w:rsidRPr="00F0520D">
        <w:rPr>
          <w:rFonts w:ascii="Arial" w:eastAsia="Yu Gothic UI" w:hAnsi="Arial" w:cs="Arial"/>
          <w:sz w:val="22"/>
          <w:szCs w:val="22"/>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6">
    <w:p w14:paraId="2399CCFF" w14:textId="6A85AC80" w:rsidR="00DC16A7" w:rsidRPr="00054F99" w:rsidRDefault="00DC16A7" w:rsidP="00DC16A7">
      <w:pPr>
        <w:jc w:val="both"/>
        <w:rPr>
          <w:rFonts w:ascii="Arial" w:hAnsi="Arial" w:cs="Arial"/>
          <w:sz w:val="22"/>
          <w:szCs w:val="22"/>
        </w:rPr>
      </w:pPr>
      <w:r w:rsidRPr="00470BDC">
        <w:rPr>
          <w:rStyle w:val="FootnoteReference"/>
          <w:rFonts w:ascii="Arial" w:hAnsi="Arial" w:cs="Arial"/>
          <w:sz w:val="22"/>
          <w:szCs w:val="22"/>
          <w:vertAlign w:val="superscript"/>
        </w:rPr>
        <w:footnoteRef/>
      </w:r>
      <w:r>
        <w:rPr>
          <w:rFonts w:ascii="Arial" w:hAnsi="Arial" w:cs="Arial"/>
          <w:sz w:val="22"/>
          <w:szCs w:val="22"/>
        </w:rPr>
        <w:t xml:space="preserve">  </w:t>
      </w:r>
      <w:r w:rsidRPr="00054F99">
        <w:rPr>
          <w:rFonts w:ascii="Arial" w:hAnsi="Arial" w:cs="Arial"/>
          <w:sz w:val="22"/>
          <w:szCs w:val="22"/>
        </w:rPr>
        <w:t>Case law has added "operability" of a firearm as an element of the crime (</w:t>
      </w:r>
      <w:r w:rsidRPr="00054F99">
        <w:rPr>
          <w:rFonts w:ascii="Arial" w:hAnsi="Arial" w:cs="Arial"/>
          <w:i/>
          <w:sz w:val="22"/>
          <w:szCs w:val="22"/>
        </w:rPr>
        <w:t xml:space="preserve">see People v Longshore, </w:t>
      </w:r>
      <w:r w:rsidRPr="00054F99">
        <w:rPr>
          <w:rFonts w:ascii="Arial" w:hAnsi="Arial" w:cs="Arial"/>
          <w:sz w:val="22"/>
          <w:szCs w:val="22"/>
        </w:rPr>
        <w:t xml:space="preserve">86 NY2d 851, 852 [1995]), but has further held that there is no requirement that the possessor know the firearm was operable </w:t>
      </w:r>
      <w:r w:rsidRPr="00054F99">
        <w:rPr>
          <w:rFonts w:ascii="Arial" w:hAnsi="Arial" w:cs="Arial"/>
          <w:i/>
          <w:sz w:val="22"/>
          <w:szCs w:val="22"/>
        </w:rPr>
        <w:t>(see People v Parrilla</w:t>
      </w:r>
      <w:r w:rsidRPr="00054F99">
        <w:rPr>
          <w:rFonts w:ascii="Arial" w:hAnsi="Arial" w:cs="Arial"/>
          <w:sz w:val="22"/>
          <w:szCs w:val="22"/>
        </w:rPr>
        <w:t xml:space="preserve">, 27 NY3d 400 [2016] ["Defendants need only knowingly possess a firearm, they need not know that the firearm was loaded or operable"]; </w:t>
      </w:r>
      <w:r w:rsidRPr="00054F99">
        <w:rPr>
          <w:rFonts w:ascii="Arial" w:hAnsi="Arial" w:cs="Arial"/>
          <w:i/>
          <w:sz w:val="22"/>
          <w:szCs w:val="22"/>
        </w:rPr>
        <w:t xml:space="preserve">People v Saunders, </w:t>
      </w:r>
      <w:r w:rsidRPr="00054F99">
        <w:rPr>
          <w:rFonts w:ascii="Arial" w:hAnsi="Arial" w:cs="Arial"/>
          <w:sz w:val="22"/>
          <w:szCs w:val="22"/>
        </w:rPr>
        <w:t xml:space="preserve">85 NY2d 339, 341-342 [1995]; </w:t>
      </w:r>
      <w:r w:rsidRPr="00054F99">
        <w:rPr>
          <w:rFonts w:ascii="Arial" w:hAnsi="Arial" w:cs="Arial"/>
          <w:i/>
          <w:sz w:val="22"/>
          <w:szCs w:val="22"/>
        </w:rPr>
        <w:t xml:space="preserve">People v Ansare, </w:t>
      </w:r>
      <w:r w:rsidRPr="00054F99">
        <w:rPr>
          <w:rFonts w:ascii="Arial" w:hAnsi="Arial" w:cs="Arial"/>
          <w:sz w:val="22"/>
          <w:szCs w:val="22"/>
        </w:rPr>
        <w:t>96 AD2d 96, 97 [4th Dept 1983]).</w:t>
      </w:r>
      <w:r w:rsidRPr="00DC16A7">
        <w:rPr>
          <w:rFonts w:ascii="Arial" w:hAnsi="Arial" w:cs="Arial"/>
          <w:sz w:val="22"/>
          <w:szCs w:val="22"/>
        </w:rPr>
        <w:t xml:space="preserve"> </w:t>
      </w:r>
      <w:r>
        <w:rPr>
          <w:rFonts w:ascii="Arial" w:hAnsi="Arial" w:cs="Arial"/>
          <w:sz w:val="22"/>
          <w:szCs w:val="22"/>
        </w:rPr>
        <w:t>In December 2022, the last sentence was substituted for: “The defendant is not required to know that it is operable.”</w:t>
      </w:r>
      <w:r>
        <w:rPr>
          <w:rFonts w:ascii="Arial" w:hAnsi="Arial" w:cs="Arial"/>
          <w:sz w:val="22"/>
          <w:szCs w:val="22"/>
        </w:rPr>
        <w:t xml:space="preserve"> </w:t>
      </w:r>
    </w:p>
    <w:p w14:paraId="5E5A1971" w14:textId="77777777" w:rsidR="00DC16A7" w:rsidRPr="00470BDC" w:rsidRDefault="00DC16A7" w:rsidP="00DC16A7">
      <w:pPr>
        <w:spacing w:after="240"/>
        <w:jc w:val="both"/>
        <w:rPr>
          <w:rFonts w:ascii="Arial" w:hAnsi="Arial" w:cs="Arial"/>
          <w:sz w:val="22"/>
          <w:szCs w:val="22"/>
        </w:rPr>
      </w:pPr>
    </w:p>
  </w:footnote>
  <w:footnote w:id="7">
    <w:p w14:paraId="7B339D13" w14:textId="0D67E825" w:rsidR="0095332D" w:rsidRDefault="0095332D">
      <w:pPr>
        <w:spacing w:after="240"/>
        <w:jc w:val="both"/>
        <w:rPr>
          <w:sz w:val="22"/>
          <w:szCs w:val="22"/>
        </w:rPr>
      </w:pPr>
      <w:r w:rsidRPr="00470BDC">
        <w:rPr>
          <w:rStyle w:val="FootnoteReference"/>
          <w:rFonts w:ascii="Arial" w:hAnsi="Arial" w:cs="Arial"/>
          <w:sz w:val="22"/>
          <w:szCs w:val="22"/>
          <w:vertAlign w:val="superscript"/>
        </w:rPr>
        <w:footnoteRef/>
      </w:r>
      <w:r w:rsidR="00054F99">
        <w:rPr>
          <w:rFonts w:ascii="Arial" w:hAnsi="Arial" w:cs="Arial"/>
          <w:i/>
          <w:iCs/>
          <w:sz w:val="22"/>
          <w:szCs w:val="22"/>
        </w:rPr>
        <w:t xml:space="preserve"> </w:t>
      </w:r>
      <w:r w:rsidRPr="00470BDC">
        <w:rPr>
          <w:rFonts w:ascii="Arial" w:hAnsi="Arial" w:cs="Arial"/>
          <w:i/>
          <w:iCs/>
          <w:sz w:val="22"/>
          <w:szCs w:val="22"/>
        </w:rPr>
        <w:t>See</w:t>
      </w:r>
      <w:r w:rsidRPr="00470BDC">
        <w:rPr>
          <w:rFonts w:ascii="Arial" w:hAnsi="Arial" w:cs="Arial"/>
          <w:sz w:val="22"/>
          <w:szCs w:val="22"/>
        </w:rPr>
        <w:t xml:space="preserve"> Penal Law </w:t>
      </w:r>
      <w:r w:rsidRPr="00470BDC">
        <w:rPr>
          <w:rFonts w:ascii="Arial" w:hAnsi="Arial" w:cs="Arial"/>
          <w:sz w:val="22"/>
          <w:szCs w:val="22"/>
        </w:rPr>
        <w:sym w:font="WP TypographicSymbols" w:char="0027"/>
      </w:r>
      <w:r w:rsidRPr="00470BDC">
        <w:rPr>
          <w:rFonts w:ascii="Arial" w:hAnsi="Arial" w:cs="Arial"/>
          <w:sz w:val="22"/>
          <w:szCs w:val="22"/>
        </w:rPr>
        <w:t xml:space="preserve"> 10.00(8).  Where constructive possession is alleged, or where the People rely on a statutory presumption of possession, insert the appropriate instruction from the "Additional Charges" section at the end of this chapter.</w:t>
      </w:r>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A12"/>
    <w:multiLevelType w:val="hybridMultilevel"/>
    <w:tmpl w:val="8A26521E"/>
    <w:lvl w:ilvl="0" w:tplc="1514D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144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32D"/>
    <w:rsid w:val="00054F99"/>
    <w:rsid w:val="00071A89"/>
    <w:rsid w:val="000A7C4D"/>
    <w:rsid w:val="001624C5"/>
    <w:rsid w:val="001821BA"/>
    <w:rsid w:val="001D633C"/>
    <w:rsid w:val="00232B5C"/>
    <w:rsid w:val="00271012"/>
    <w:rsid w:val="002E1265"/>
    <w:rsid w:val="00335A1C"/>
    <w:rsid w:val="003B0328"/>
    <w:rsid w:val="00470BDC"/>
    <w:rsid w:val="00470F7F"/>
    <w:rsid w:val="00534728"/>
    <w:rsid w:val="0067163B"/>
    <w:rsid w:val="00784E88"/>
    <w:rsid w:val="0085648C"/>
    <w:rsid w:val="0095332D"/>
    <w:rsid w:val="00972920"/>
    <w:rsid w:val="00AB0FA6"/>
    <w:rsid w:val="00AE489D"/>
    <w:rsid w:val="00B3643A"/>
    <w:rsid w:val="00C55960"/>
    <w:rsid w:val="00D00530"/>
    <w:rsid w:val="00DC16A7"/>
    <w:rsid w:val="00DD619A"/>
    <w:rsid w:val="00E9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FA44B2"/>
  <w14:defaultImageDpi w14:val="0"/>
  <w15:docId w15:val="{082E3952-127E-4FC2-8486-01B5329A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534728"/>
    <w:rPr>
      <w:sz w:val="20"/>
      <w:szCs w:val="20"/>
    </w:rPr>
  </w:style>
  <w:style w:type="character" w:customStyle="1" w:styleId="FootnoteTextChar">
    <w:name w:val="Footnote Text Char"/>
    <w:link w:val="FootnoteText"/>
    <w:uiPriority w:val="99"/>
    <w:semiHidden/>
    <w:rsid w:val="00534728"/>
    <w:rPr>
      <w:rFonts w:ascii="Times New Roman" w:hAnsi="Times New Roman" w:cs="Times New Roman"/>
      <w:sz w:val="20"/>
      <w:szCs w:val="20"/>
    </w:rPr>
  </w:style>
  <w:style w:type="character" w:styleId="Hyperlink">
    <w:name w:val="Hyperlink"/>
    <w:uiPriority w:val="99"/>
    <w:unhideWhenUsed/>
    <w:rsid w:val="00B3643A"/>
    <w:rPr>
      <w:color w:val="0563C1"/>
      <w:u w:val="single"/>
    </w:rPr>
  </w:style>
  <w:style w:type="character" w:styleId="UnresolvedMention">
    <w:name w:val="Unresolved Mention"/>
    <w:uiPriority w:val="99"/>
    <w:semiHidden/>
    <w:unhideWhenUsed/>
    <w:rsid w:val="00B3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7427-F02D-4A8A-A53F-0FD45076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647</Words>
  <Characters>3186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25</cp:revision>
  <cp:lastPrinted>2022-12-07T21:31:00Z</cp:lastPrinted>
  <dcterms:created xsi:type="dcterms:W3CDTF">2022-11-30T17:04:00Z</dcterms:created>
  <dcterms:modified xsi:type="dcterms:W3CDTF">2022-12-07T21:31:00Z</dcterms:modified>
</cp:coreProperties>
</file>