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3D9F" w14:textId="77777777" w:rsidR="00812079" w:rsidRDefault="00812079">
      <w:pPr>
        <w:kinsoku w:val="0"/>
        <w:overflowPunct w:val="0"/>
        <w:autoSpaceDE/>
        <w:autoSpaceDN/>
        <w:adjustRightInd/>
        <w:spacing w:before="7" w:line="331" w:lineRule="exact"/>
        <w:jc w:val="center"/>
        <w:textAlignment w:val="baseline"/>
        <w:rPr>
          <w:rFonts w:ascii="Arial" w:hAnsi="Arial"/>
          <w:b/>
          <w:sz w:val="28"/>
        </w:rPr>
      </w:pPr>
      <w:bookmarkStart w:id="0" w:name="_GoBack"/>
      <w:bookmarkEnd w:id="0"/>
      <w:r>
        <w:rPr>
          <w:rFonts w:ascii="Arial" w:hAnsi="Arial"/>
          <w:b/>
          <w:sz w:val="28"/>
        </w:rPr>
        <w:t>UNLAWFUL SURVEILLANCE IN THE SECOND DEGREE</w:t>
      </w:r>
    </w:p>
    <w:p w14:paraId="3E6AF732" w14:textId="77777777" w:rsidR="00812079" w:rsidRDefault="00812079">
      <w:pPr>
        <w:kinsoku w:val="0"/>
        <w:overflowPunct w:val="0"/>
        <w:autoSpaceDE/>
        <w:autoSpaceDN/>
        <w:adjustRightInd/>
        <w:spacing w:line="331" w:lineRule="exact"/>
        <w:jc w:val="center"/>
        <w:textAlignment w:val="baseline"/>
        <w:rPr>
          <w:rFonts w:ascii="Arial" w:hAnsi="Arial"/>
          <w:b/>
          <w:sz w:val="28"/>
        </w:rPr>
      </w:pPr>
      <w:r>
        <w:rPr>
          <w:rFonts w:ascii="Arial" w:hAnsi="Arial"/>
          <w:b/>
          <w:sz w:val="28"/>
        </w:rPr>
        <w:t>Penal Law § 250.45(2)</w:t>
      </w:r>
    </w:p>
    <w:p w14:paraId="289A0B5D" w14:textId="77777777" w:rsidR="00812079" w:rsidRDefault="00812079">
      <w:pPr>
        <w:kinsoku w:val="0"/>
        <w:overflowPunct w:val="0"/>
        <w:autoSpaceDE/>
        <w:autoSpaceDN/>
        <w:adjustRightInd/>
        <w:spacing w:line="331" w:lineRule="exact"/>
        <w:jc w:val="center"/>
        <w:textAlignment w:val="baseline"/>
        <w:rPr>
          <w:rFonts w:ascii="Arial" w:hAnsi="Arial"/>
          <w:b/>
          <w:sz w:val="28"/>
        </w:rPr>
      </w:pPr>
      <w:r>
        <w:rPr>
          <w:rFonts w:ascii="Arial" w:hAnsi="Arial"/>
          <w:b/>
          <w:sz w:val="28"/>
        </w:rPr>
        <w:t>(Committed on or after Aug. 11, 2003)</w:t>
      </w:r>
    </w:p>
    <w:p w14:paraId="38B2AC3A" w14:textId="77777777" w:rsidR="00812079" w:rsidRDefault="00812079">
      <w:pPr>
        <w:kinsoku w:val="0"/>
        <w:overflowPunct w:val="0"/>
        <w:autoSpaceDE/>
        <w:autoSpaceDN/>
        <w:adjustRightInd/>
        <w:spacing w:before="320" w:line="327"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Unlawful Surveillance in the Second Degree.</w:t>
      </w:r>
    </w:p>
    <w:p w14:paraId="398604D0" w14:textId="77777777" w:rsidR="00812079" w:rsidRDefault="00812079">
      <w:pPr>
        <w:kinsoku w:val="0"/>
        <w:overflowPunct w:val="0"/>
        <w:autoSpaceDE/>
        <w:autoSpaceDN/>
        <w:adjustRightInd/>
        <w:spacing w:before="325" w:line="323" w:lineRule="exact"/>
        <w:ind w:firstLine="720"/>
        <w:jc w:val="both"/>
        <w:textAlignment w:val="baseline"/>
        <w:rPr>
          <w:rFonts w:ascii="Arial" w:hAnsi="Arial"/>
          <w:sz w:val="28"/>
        </w:rPr>
      </w:pPr>
      <w:r>
        <w:rPr>
          <w:rFonts w:ascii="Arial" w:hAnsi="Arial"/>
          <w:sz w:val="28"/>
        </w:rPr>
        <w:t>Under our law, a person is guilty of Unlawful Surveillance in the Second Degree when, for his or her own, or another person’s sexual arousal or sexual gratification</w:t>
      </w:r>
      <w:r>
        <w:rPr>
          <w:rFonts w:ascii="Arial" w:hAnsi="Arial"/>
          <w:i/>
          <w:sz w:val="28"/>
        </w:rPr>
        <w:t xml:space="preserve">, </w:t>
      </w:r>
      <w:r>
        <w:rPr>
          <w:rFonts w:ascii="Arial" w:hAnsi="Arial"/>
          <w:sz w:val="28"/>
        </w:rPr>
        <w:t>he or she intentionally</w:t>
      </w:r>
    </w:p>
    <w:p w14:paraId="65736DEF" w14:textId="77777777" w:rsidR="00812079" w:rsidRDefault="00812079">
      <w:pPr>
        <w:kinsoku w:val="0"/>
        <w:overflowPunct w:val="0"/>
        <w:autoSpaceDE/>
        <w:autoSpaceDN/>
        <w:adjustRightInd/>
        <w:spacing w:before="329" w:line="319" w:lineRule="exact"/>
        <w:textAlignment w:val="baseline"/>
        <w:rPr>
          <w:rFonts w:ascii="Arial" w:hAnsi="Arial"/>
          <w:sz w:val="28"/>
        </w:rPr>
      </w:pPr>
      <w:r>
        <w:rPr>
          <w:rFonts w:ascii="Arial" w:hAnsi="Arial"/>
          <w:sz w:val="28"/>
        </w:rPr>
        <w:t>uses or installs, or</w:t>
      </w:r>
    </w:p>
    <w:p w14:paraId="184D69E1" w14:textId="77777777" w:rsidR="00812079" w:rsidRDefault="00812079">
      <w:pPr>
        <w:kinsoku w:val="0"/>
        <w:overflowPunct w:val="0"/>
        <w:autoSpaceDE/>
        <w:autoSpaceDN/>
        <w:adjustRightInd/>
        <w:spacing w:before="8" w:line="319" w:lineRule="exact"/>
        <w:textAlignment w:val="baseline"/>
        <w:rPr>
          <w:rFonts w:ascii="Arial" w:hAnsi="Arial"/>
          <w:sz w:val="28"/>
        </w:rPr>
      </w:pPr>
      <w:r>
        <w:rPr>
          <w:rFonts w:ascii="Arial" w:hAnsi="Arial"/>
          <w:sz w:val="28"/>
        </w:rPr>
        <w:t>permits the utilization or installation of an imaging device</w:t>
      </w:r>
    </w:p>
    <w:p w14:paraId="6CE3A079" w14:textId="77777777" w:rsidR="00812079" w:rsidRDefault="00812079">
      <w:pPr>
        <w:kinsoku w:val="0"/>
        <w:overflowPunct w:val="0"/>
        <w:autoSpaceDE/>
        <w:autoSpaceDN/>
        <w:adjustRightInd/>
        <w:spacing w:before="321" w:line="324" w:lineRule="exact"/>
        <w:jc w:val="both"/>
        <w:textAlignment w:val="baseline"/>
        <w:rPr>
          <w:rFonts w:ascii="Arial" w:hAnsi="Arial"/>
          <w:spacing w:val="-3"/>
          <w:sz w:val="28"/>
        </w:rPr>
      </w:pPr>
      <w:r>
        <w:rPr>
          <w:rFonts w:ascii="Arial" w:hAnsi="Arial"/>
          <w:spacing w:val="-3"/>
          <w:sz w:val="28"/>
        </w:rPr>
        <w:t>to surreptitiously view,</w:t>
      </w:r>
      <w:r>
        <w:rPr>
          <w:rFonts w:ascii="Arial" w:hAnsi="Arial"/>
          <w:spacing w:val="-3"/>
          <w:sz w:val="28"/>
          <w:vertAlign w:val="superscript"/>
        </w:rPr>
        <w:t>1</w:t>
      </w:r>
      <w:r>
        <w:rPr>
          <w:rFonts w:ascii="Arial" w:hAnsi="Arial"/>
          <w:spacing w:val="-3"/>
          <w:sz w:val="28"/>
        </w:rPr>
        <w:t xml:space="preserve"> broadcast or record a person dressing or undressing or the sexual or other intimate parts of such person</w:t>
      </w:r>
    </w:p>
    <w:p w14:paraId="73902396" w14:textId="77777777" w:rsidR="00812079" w:rsidRDefault="00812079">
      <w:p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at a place and time when such person has a reasonable expectation of privacy, without such person’s knowledge or consent.</w:t>
      </w:r>
    </w:p>
    <w:p w14:paraId="7BB22567" w14:textId="77777777" w:rsidR="00812079" w:rsidRDefault="00812079">
      <w:pPr>
        <w:kinsoku w:val="0"/>
        <w:overflowPunct w:val="0"/>
        <w:autoSpaceDE/>
        <w:autoSpaceDN/>
        <w:adjustRightInd/>
        <w:spacing w:before="321" w:line="327" w:lineRule="exact"/>
        <w:ind w:firstLine="720"/>
        <w:jc w:val="both"/>
        <w:textAlignment w:val="baseline"/>
        <w:rPr>
          <w:rFonts w:ascii="Arial" w:hAnsi="Arial"/>
          <w:sz w:val="28"/>
        </w:rPr>
      </w:pPr>
      <w:r>
        <w:rPr>
          <w:rFonts w:ascii="Arial" w:hAnsi="Arial"/>
          <w:sz w:val="28"/>
        </w:rPr>
        <w:t>The following terms used in that definition have a special meaning:</w:t>
      </w:r>
    </w:p>
    <w:p w14:paraId="7C51E09E" w14:textId="77777777" w:rsidR="00812079" w:rsidRDefault="00812079">
      <w:pPr>
        <w:kinsoku w:val="0"/>
        <w:overflowPunct w:val="0"/>
        <w:autoSpaceDE/>
        <w:autoSpaceDN/>
        <w:adjustRightInd/>
        <w:spacing w:before="328" w:after="258" w:line="321" w:lineRule="exact"/>
        <w:ind w:firstLine="720"/>
        <w:jc w:val="both"/>
        <w:textAlignment w:val="baseline"/>
        <w:rPr>
          <w:rFonts w:ascii="Arial" w:hAnsi="Arial"/>
          <w:sz w:val="17"/>
        </w:rPr>
      </w:pPr>
      <w:r>
        <w:rPr>
          <w:rFonts w:ascii="Arial" w:hAnsi="Arial"/>
          <w:sz w:val="28"/>
        </w:rPr>
        <w:t>IMAGING DEVICE means any mechanical, digital or electronic viewing device, camera or any other instrument capable of recording, storing or transmitting visual images that can be utilized to observe a person.</w:t>
      </w:r>
      <w:r>
        <w:rPr>
          <w:rFonts w:ascii="Arial" w:hAnsi="Arial"/>
          <w:sz w:val="28"/>
          <w:vertAlign w:val="superscript"/>
        </w:rPr>
        <w:t>2</w:t>
      </w:r>
    </w:p>
    <w:p w14:paraId="6C230582" w14:textId="1D4BCC88" w:rsidR="00812079" w:rsidRDefault="00CD68E6">
      <w:pPr>
        <w:kinsoku w:val="0"/>
        <w:overflowPunct w:val="0"/>
        <w:autoSpaceDE/>
        <w:autoSpaceDN/>
        <w:adjustRightInd/>
        <w:spacing w:before="265" w:line="276" w:lineRule="exact"/>
        <w:ind w:firstLine="720"/>
        <w:jc w:val="both"/>
        <w:textAlignment w:val="baseline"/>
        <w:rPr>
          <w:rFonts w:ascii="Arial" w:hAnsi="Arial"/>
          <w:spacing w:val="-4"/>
          <w:sz w:val="24"/>
        </w:rPr>
      </w:pPr>
      <w:r>
        <w:rPr>
          <w:noProof/>
        </w:rPr>
        <mc:AlternateContent>
          <mc:Choice Requires="wps">
            <w:drawing>
              <wp:anchor distT="0" distB="0" distL="0" distR="0" simplePos="0" relativeHeight="251658240" behindDoc="0" locked="0" layoutInCell="0" allowOverlap="1" wp14:anchorId="6EA1CE6F" wp14:editId="7379A8C0">
                <wp:simplePos x="0" y="0"/>
                <wp:positionH relativeFrom="page">
                  <wp:posOffset>1371600</wp:posOffset>
                </wp:positionH>
                <wp:positionV relativeFrom="page">
                  <wp:posOffset>7068185</wp:posOffset>
                </wp:positionV>
                <wp:extent cx="18294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F1F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56.55pt" to="252.05pt,5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" o:allowincell="f" strokeweight="1.2pt">
                <w10:wrap type="square" anchorx="page" anchory="page"/>
              </v:line>
            </w:pict>
          </mc:Fallback>
        </mc:AlternateContent>
      </w:r>
      <w:r w:rsidR="00812079">
        <w:rPr>
          <w:rFonts w:ascii="Arial" w:hAnsi="Arial"/>
          <w:spacing w:val="-4"/>
          <w:sz w:val="16"/>
          <w:vertAlign w:val="superscript"/>
        </w:rPr>
        <w:t>1</w:t>
      </w:r>
      <w:r w:rsidR="00812079">
        <w:rPr>
          <w:rFonts w:ascii="Arial" w:hAnsi="Arial"/>
          <w:spacing w:val="-4"/>
          <w:sz w:val="24"/>
        </w:rPr>
        <w:t xml:space="preserve">In </w:t>
      </w:r>
      <w:r w:rsidR="00812079">
        <w:rPr>
          <w:rFonts w:ascii="Arial" w:hAnsi="Arial"/>
          <w:i/>
          <w:spacing w:val="-4"/>
          <w:sz w:val="24"/>
        </w:rPr>
        <w:t>People v. Lema</w:t>
      </w:r>
      <w:r w:rsidR="00812079">
        <w:rPr>
          <w:rFonts w:ascii="Arial" w:hAnsi="Arial"/>
          <w:spacing w:val="-4"/>
          <w:sz w:val="24"/>
        </w:rPr>
        <w:t xml:space="preserve">,152 A.D.3d 440 (1st Dept. 2017), the defendant used a phone camera to record underneath women's skirts on a subway train, but “no image of their ‘sexual or other intimate parts’ (Penal Law § 250.45 [4]) resulted because of the dark lighting conditions.” The Court, however, held that “the statute is satisfied so long as a defendant attempts to create such an image....it can fairly be said that defendant used the device ‘to . . . record,’ that is, for the purpose of creating a recording, even though that recording was never successfully made.” A trial court faced with a </w:t>
      </w:r>
      <w:r w:rsidR="00812079">
        <w:rPr>
          <w:rFonts w:ascii="Arial" w:hAnsi="Arial"/>
          <w:i/>
          <w:spacing w:val="-4"/>
          <w:sz w:val="24"/>
        </w:rPr>
        <w:t xml:space="preserve">Lema </w:t>
      </w:r>
      <w:r w:rsidR="00812079">
        <w:rPr>
          <w:rFonts w:ascii="Arial" w:hAnsi="Arial"/>
          <w:spacing w:val="-4"/>
          <w:sz w:val="24"/>
        </w:rPr>
        <w:t>issue may wish to adapt the language of that case for inclusion in the charge.</w:t>
      </w:r>
    </w:p>
    <w:p w14:paraId="16972CAA" w14:textId="77777777" w:rsidR="00812079" w:rsidRDefault="00812079">
      <w:pPr>
        <w:kinsoku w:val="0"/>
        <w:overflowPunct w:val="0"/>
        <w:autoSpaceDE/>
        <w:autoSpaceDN/>
        <w:adjustRightInd/>
        <w:spacing w:before="241" w:line="300" w:lineRule="exact"/>
        <w:ind w:left="720"/>
        <w:textAlignment w:val="baseline"/>
        <w:rPr>
          <w:rFonts w:ascii="Arial" w:hAnsi="Arial"/>
          <w:spacing w:val="5"/>
          <w:sz w:val="26"/>
        </w:rPr>
      </w:pPr>
      <w:r>
        <w:rPr>
          <w:rFonts w:ascii="Arial" w:hAnsi="Arial"/>
          <w:spacing w:val="5"/>
          <w:sz w:val="16"/>
          <w:vertAlign w:val="superscript"/>
        </w:rPr>
        <w:t>2</w:t>
      </w:r>
      <w:r>
        <w:rPr>
          <w:rFonts w:ascii="Arial" w:hAnsi="Arial"/>
          <w:spacing w:val="5"/>
          <w:sz w:val="26"/>
        </w:rPr>
        <w:t>Penal Law § 250.40(2)</w:t>
      </w:r>
    </w:p>
    <w:p w14:paraId="4099208B" w14:textId="77777777" w:rsidR="00812079" w:rsidRDefault="00812079">
      <w:pPr>
        <w:widowControl/>
        <w:rPr>
          <w:sz w:val="24"/>
        </w:rPr>
        <w:sectPr w:rsidR="00812079">
          <w:pgSz w:w="12240" w:h="15840"/>
          <w:pgMar w:top="1440" w:right="2140" w:bottom="984" w:left="2160" w:header="720" w:footer="720" w:gutter="0"/>
          <w:cols w:space="720"/>
          <w:noEndnote/>
        </w:sectPr>
      </w:pPr>
    </w:p>
    <w:p w14:paraId="4D824378" w14:textId="77777777" w:rsidR="00812079" w:rsidRDefault="00812079">
      <w:pPr>
        <w:kinsoku w:val="0"/>
        <w:overflowPunct w:val="0"/>
        <w:autoSpaceDE/>
        <w:autoSpaceDN/>
        <w:adjustRightInd/>
        <w:spacing w:line="324" w:lineRule="exact"/>
        <w:ind w:firstLine="720"/>
        <w:jc w:val="both"/>
        <w:textAlignment w:val="baseline"/>
        <w:rPr>
          <w:rFonts w:ascii="Arial" w:hAnsi="Arial"/>
          <w:sz w:val="28"/>
        </w:rPr>
      </w:pPr>
      <w:r>
        <w:rPr>
          <w:rFonts w:ascii="Arial" w:hAnsi="Arial"/>
          <w:sz w:val="28"/>
        </w:rPr>
        <w:lastRenderedPageBreak/>
        <w:t>[BROADCAST means electronically transmitting a visual image with the intent that it be viewed by a person.</w:t>
      </w:r>
      <w:r>
        <w:rPr>
          <w:rFonts w:ascii="Arial" w:hAnsi="Arial"/>
          <w:sz w:val="28"/>
          <w:vertAlign w:val="superscript"/>
        </w:rPr>
        <w:t>3</w:t>
      </w:r>
      <w:r>
        <w:rPr>
          <w:rFonts w:ascii="Arial" w:hAnsi="Arial"/>
          <w:sz w:val="28"/>
        </w:rPr>
        <w:t xml:space="preserve"> ]</w:t>
      </w:r>
    </w:p>
    <w:p w14:paraId="19633DAB" w14:textId="77777777" w:rsidR="00812079" w:rsidRDefault="00812079">
      <w:pPr>
        <w:kinsoku w:val="0"/>
        <w:overflowPunct w:val="0"/>
        <w:autoSpaceDE/>
        <w:autoSpaceDN/>
        <w:adjustRightInd/>
        <w:spacing w:before="322" w:line="325" w:lineRule="exact"/>
        <w:ind w:firstLine="720"/>
        <w:jc w:val="both"/>
        <w:textAlignment w:val="baseline"/>
        <w:rPr>
          <w:rFonts w:ascii="Arial" w:hAnsi="Arial"/>
          <w:spacing w:val="-4"/>
          <w:sz w:val="17"/>
        </w:rPr>
      </w:pPr>
      <w:r>
        <w:rPr>
          <w:rFonts w:ascii="Arial" w:hAnsi="Arial"/>
          <w:spacing w:val="-4"/>
          <w:sz w:val="28"/>
        </w:rPr>
        <w:t>SEXUAL OR OTHER INTIMATE PARTS means the human male or female genitals, pubic area or buttocks, or the female breast below the top of the nipple, and shall include such part or parts which are covered only by an undergarment.</w:t>
      </w:r>
      <w:r>
        <w:rPr>
          <w:rFonts w:ascii="Arial" w:hAnsi="Arial"/>
          <w:spacing w:val="-4"/>
          <w:sz w:val="28"/>
          <w:vertAlign w:val="superscript"/>
        </w:rPr>
        <w:t>4</w:t>
      </w:r>
    </w:p>
    <w:p w14:paraId="0F419241" w14:textId="77777777" w:rsidR="00812079" w:rsidRDefault="00812079">
      <w:pPr>
        <w:kinsoku w:val="0"/>
        <w:overflowPunct w:val="0"/>
        <w:autoSpaceDE/>
        <w:autoSpaceDN/>
        <w:adjustRightInd/>
        <w:spacing w:before="318" w:line="325" w:lineRule="exact"/>
        <w:ind w:firstLine="720"/>
        <w:jc w:val="both"/>
        <w:textAlignment w:val="baseline"/>
        <w:rPr>
          <w:rFonts w:ascii="Arial" w:hAnsi="Arial"/>
          <w:sz w:val="17"/>
        </w:rPr>
      </w:pPr>
      <w:r>
        <w:rPr>
          <w:rFonts w:ascii="Arial" w:hAnsi="Arial"/>
          <w:sz w:val="28"/>
        </w:rPr>
        <w:t>PLACE AND TIME WHEN A PERSON HAS A REASONABLE EXPECTATION OF PRIVACY means a place and time when a reasonable person would believe that he or she could fully disrobe in privacy.</w:t>
      </w:r>
      <w:r>
        <w:rPr>
          <w:rFonts w:ascii="Arial" w:hAnsi="Arial"/>
          <w:sz w:val="28"/>
          <w:vertAlign w:val="superscript"/>
        </w:rPr>
        <w:t>5</w:t>
      </w:r>
    </w:p>
    <w:p w14:paraId="619485E1" w14:textId="77777777" w:rsidR="00812079" w:rsidRDefault="00812079">
      <w:pPr>
        <w:kinsoku w:val="0"/>
        <w:overflowPunct w:val="0"/>
        <w:autoSpaceDE/>
        <w:autoSpaceDN/>
        <w:adjustRightInd/>
        <w:spacing w:before="319" w:line="325" w:lineRule="exact"/>
        <w:ind w:firstLine="720"/>
        <w:jc w:val="both"/>
        <w:textAlignment w:val="baseline"/>
        <w:rPr>
          <w:rFonts w:ascii="Arial" w:hAnsi="Arial"/>
          <w:spacing w:val="-4"/>
          <w:sz w:val="17"/>
        </w:rPr>
      </w:pPr>
      <w:r>
        <w:rPr>
          <w:rFonts w:ascii="Arial" w:hAnsi="Arial"/>
          <w:spacing w:val="-4"/>
          <w:sz w:val="28"/>
        </w:rPr>
        <w:t>Intent means conscious objective or purpose. Thus, INTENTIONALLY uses or installs, [or permits the utilization or installation of] an imaging device to surreptitiously view, broadcast or record a person dressing or undressing, or the sexual or other intimate parts of such person, when his or her conscious objective or purpose is to do so</w:t>
      </w:r>
      <w:r>
        <w:rPr>
          <w:rFonts w:ascii="Arial" w:hAnsi="Arial"/>
          <w:i/>
          <w:spacing w:val="-4"/>
          <w:sz w:val="28"/>
        </w:rPr>
        <w:t>.</w:t>
      </w:r>
      <w:r>
        <w:rPr>
          <w:rFonts w:ascii="Arial" w:hAnsi="Arial"/>
          <w:spacing w:val="-4"/>
          <w:sz w:val="28"/>
          <w:vertAlign w:val="superscript"/>
        </w:rPr>
        <w:t>6</w:t>
      </w:r>
    </w:p>
    <w:p w14:paraId="19E0E068" w14:textId="77777777" w:rsidR="00812079" w:rsidRDefault="00812079">
      <w:pPr>
        <w:kinsoku w:val="0"/>
        <w:overflowPunct w:val="0"/>
        <w:autoSpaceDE/>
        <w:autoSpaceDN/>
        <w:adjustRightInd/>
        <w:spacing w:before="324" w:line="325"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the evidence in the case, beyond a reasonable doubt, each of the following three elements:</w:t>
      </w:r>
    </w:p>
    <w:p w14:paraId="630DBD30" w14:textId="77777777" w:rsidR="00812079" w:rsidRDefault="00812079">
      <w:pPr>
        <w:tabs>
          <w:tab w:val="right" w:pos="7920"/>
        </w:tabs>
        <w:kinsoku w:val="0"/>
        <w:overflowPunct w:val="0"/>
        <w:autoSpaceDE/>
        <w:autoSpaceDN/>
        <w:adjustRightInd/>
        <w:spacing w:before="325" w:line="325" w:lineRule="exact"/>
        <w:ind w:left="720"/>
        <w:jc w:val="both"/>
        <w:textAlignment w:val="baseline"/>
        <w:rPr>
          <w:rFonts w:ascii="Arial" w:hAnsi="Arial"/>
          <w:sz w:val="28"/>
        </w:rPr>
      </w:pPr>
      <w:r>
        <w:rPr>
          <w:rFonts w:ascii="Arial" w:hAnsi="Arial"/>
          <w:sz w:val="28"/>
        </w:rPr>
        <w:t>1.</w:t>
      </w:r>
      <w:r>
        <w:rPr>
          <w:rFonts w:ascii="Arial" w:hAnsi="Arial"/>
          <w:sz w:val="28"/>
        </w:rPr>
        <w:tab/>
        <w:t xml:space="preserve">That on or about </w:t>
      </w:r>
      <w:r>
        <w:rPr>
          <w:rFonts w:ascii="Arial" w:hAnsi="Arial"/>
          <w:i/>
          <w:sz w:val="28"/>
          <w:u w:val="single"/>
        </w:rPr>
        <w:t xml:space="preserve"> (date) </w:t>
      </w:r>
      <w:r>
        <w:rPr>
          <w:rFonts w:ascii="Arial" w:hAnsi="Arial"/>
          <w:sz w:val="28"/>
        </w:rPr>
        <w:t xml:space="preserve"> , in the county of </w:t>
      </w:r>
      <w:r>
        <w:rPr>
          <w:rFonts w:ascii="Arial" w:hAnsi="Arial"/>
          <w:i/>
          <w:sz w:val="28"/>
          <w:u w:val="single"/>
        </w:rPr>
        <w:t>(county)</w:t>
      </w:r>
      <w:r>
        <w:rPr>
          <w:rFonts w:ascii="Arial" w:hAnsi="Arial"/>
          <w:sz w:val="28"/>
        </w:rPr>
        <w:t>,</w:t>
      </w:r>
    </w:p>
    <w:p w14:paraId="211FB840" w14:textId="77777777" w:rsidR="00812079" w:rsidRDefault="00812079">
      <w:pPr>
        <w:kinsoku w:val="0"/>
        <w:overflowPunct w:val="0"/>
        <w:autoSpaceDE/>
        <w:autoSpaceDN/>
        <w:adjustRightInd/>
        <w:spacing w:after="415" w:line="323" w:lineRule="exact"/>
        <w:jc w:val="both"/>
        <w:textAlignment w:val="baseline"/>
        <w:rPr>
          <w:rFonts w:ascii="Arial" w:hAnsi="Arial"/>
          <w:sz w:val="28"/>
        </w:rPr>
      </w:pPr>
      <w:r>
        <w:rPr>
          <w:rFonts w:ascii="Arial" w:hAnsi="Arial"/>
          <w:sz w:val="28"/>
        </w:rPr>
        <w:t xml:space="preserve">the defendant, </w:t>
      </w:r>
      <w:r>
        <w:rPr>
          <w:rFonts w:ascii="Arial" w:hAnsi="Arial"/>
          <w:i/>
          <w:sz w:val="28"/>
          <w:u w:val="single"/>
        </w:rPr>
        <w:t>(defendant’s name)</w:t>
      </w:r>
      <w:r>
        <w:rPr>
          <w:rFonts w:ascii="Arial" w:hAnsi="Arial"/>
          <w:sz w:val="28"/>
        </w:rPr>
        <w:t>, used or installed, or permitted the utilization or installation of, an imaging device to surreptitiously view, broadcast or record a person dressing or undressing, or the sexual or other intimate parts of such person, at a place and time when such person has a reasonable expectation of privacy, without such person’s knowledge or consent;</w:t>
      </w:r>
    </w:p>
    <w:p w14:paraId="58EC329C" w14:textId="36D0BFCA" w:rsidR="00812079" w:rsidRDefault="00CD68E6">
      <w:pPr>
        <w:kinsoku w:val="0"/>
        <w:overflowPunct w:val="0"/>
        <w:autoSpaceDE/>
        <w:autoSpaceDN/>
        <w:adjustRightInd/>
        <w:spacing w:before="256" w:line="299" w:lineRule="exact"/>
        <w:ind w:left="720"/>
        <w:textAlignment w:val="baseline"/>
        <w:rPr>
          <w:rFonts w:ascii="Arial" w:hAnsi="Arial"/>
          <w:spacing w:val="1"/>
          <w:sz w:val="26"/>
        </w:rPr>
      </w:pPr>
      <w:r>
        <w:rPr>
          <w:noProof/>
        </w:rPr>
        <mc:AlternateContent>
          <mc:Choice Requires="wps">
            <w:drawing>
              <wp:anchor distT="0" distB="0" distL="0" distR="0" simplePos="0" relativeHeight="251659264" behindDoc="0" locked="0" layoutInCell="0" allowOverlap="1" wp14:anchorId="5079795A" wp14:editId="62642448">
                <wp:simplePos x="0" y="0"/>
                <wp:positionH relativeFrom="page">
                  <wp:posOffset>1369695</wp:posOffset>
                </wp:positionH>
                <wp:positionV relativeFrom="page">
                  <wp:posOffset>7778750</wp:posOffset>
                </wp:positionV>
                <wp:extent cx="1831340"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E69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5pt,612.5pt" to="252.0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" o:allowincell="f" strokeweight=".95pt">
                <w10:wrap type="square" anchorx="page" anchory="page"/>
              </v:line>
            </w:pict>
          </mc:Fallback>
        </mc:AlternateContent>
      </w:r>
      <w:r w:rsidR="00812079">
        <w:rPr>
          <w:rFonts w:ascii="Arial" w:hAnsi="Arial"/>
          <w:spacing w:val="1"/>
          <w:sz w:val="16"/>
          <w:vertAlign w:val="superscript"/>
        </w:rPr>
        <w:t>3</w:t>
      </w:r>
      <w:r w:rsidR="00812079">
        <w:rPr>
          <w:rFonts w:ascii="Arial" w:hAnsi="Arial"/>
          <w:spacing w:val="1"/>
          <w:sz w:val="26"/>
        </w:rPr>
        <w:t xml:space="preserve"> Penal Law § 250.40(4).</w:t>
      </w:r>
    </w:p>
    <w:p w14:paraId="785E6FD2" w14:textId="77777777" w:rsidR="00812079" w:rsidRDefault="00812079">
      <w:pPr>
        <w:kinsoku w:val="0"/>
        <w:overflowPunct w:val="0"/>
        <w:autoSpaceDE/>
        <w:autoSpaceDN/>
        <w:adjustRightInd/>
        <w:spacing w:before="239" w:line="299" w:lineRule="exact"/>
        <w:ind w:left="720"/>
        <w:textAlignment w:val="baseline"/>
        <w:rPr>
          <w:rFonts w:ascii="Arial" w:hAnsi="Arial"/>
          <w:spacing w:val="1"/>
          <w:sz w:val="26"/>
        </w:rPr>
      </w:pPr>
      <w:r>
        <w:rPr>
          <w:rFonts w:ascii="Arial" w:hAnsi="Arial"/>
          <w:spacing w:val="1"/>
          <w:sz w:val="16"/>
          <w:vertAlign w:val="superscript"/>
        </w:rPr>
        <w:t>4</w:t>
      </w:r>
      <w:r>
        <w:rPr>
          <w:rFonts w:ascii="Arial" w:hAnsi="Arial"/>
          <w:spacing w:val="1"/>
          <w:sz w:val="26"/>
        </w:rPr>
        <w:t xml:space="preserve"> Penal Law § 250.40(3).</w:t>
      </w:r>
    </w:p>
    <w:p w14:paraId="59F4D3BB" w14:textId="77777777" w:rsidR="00812079" w:rsidRDefault="00812079">
      <w:pPr>
        <w:kinsoku w:val="0"/>
        <w:overflowPunct w:val="0"/>
        <w:autoSpaceDE/>
        <w:autoSpaceDN/>
        <w:adjustRightInd/>
        <w:spacing w:before="239" w:line="299" w:lineRule="exact"/>
        <w:ind w:left="720"/>
        <w:textAlignment w:val="baseline"/>
        <w:rPr>
          <w:rFonts w:ascii="Arial" w:hAnsi="Arial"/>
          <w:spacing w:val="1"/>
          <w:sz w:val="26"/>
        </w:rPr>
      </w:pPr>
      <w:r>
        <w:rPr>
          <w:rFonts w:ascii="Arial" w:hAnsi="Arial"/>
          <w:spacing w:val="1"/>
          <w:sz w:val="16"/>
          <w:vertAlign w:val="superscript"/>
        </w:rPr>
        <w:t>5</w:t>
      </w:r>
      <w:r>
        <w:rPr>
          <w:rFonts w:ascii="Arial" w:hAnsi="Arial"/>
          <w:spacing w:val="1"/>
          <w:sz w:val="26"/>
        </w:rPr>
        <w:t xml:space="preserve"> Penal Law § 250.40(1).</w:t>
      </w:r>
    </w:p>
    <w:p w14:paraId="206BA44C" w14:textId="77777777" w:rsidR="00812079" w:rsidRDefault="00812079">
      <w:pPr>
        <w:kinsoku w:val="0"/>
        <w:overflowPunct w:val="0"/>
        <w:autoSpaceDE/>
        <w:autoSpaceDN/>
        <w:adjustRightInd/>
        <w:spacing w:before="238" w:line="299" w:lineRule="exact"/>
        <w:ind w:left="720"/>
        <w:textAlignment w:val="baseline"/>
        <w:rPr>
          <w:rFonts w:ascii="Arial" w:hAnsi="Arial"/>
          <w:spacing w:val="-1"/>
          <w:sz w:val="26"/>
        </w:rPr>
      </w:pPr>
      <w:r>
        <w:rPr>
          <w:rFonts w:ascii="Arial" w:hAnsi="Arial"/>
          <w:spacing w:val="-1"/>
          <w:sz w:val="16"/>
          <w:vertAlign w:val="superscript"/>
        </w:rPr>
        <w:t>6</w:t>
      </w:r>
      <w:r>
        <w:rPr>
          <w:rFonts w:ascii="Arial" w:hAnsi="Arial"/>
          <w:i/>
          <w:spacing w:val="-1"/>
          <w:sz w:val="26"/>
        </w:rPr>
        <w:t xml:space="preserve"> See </w:t>
      </w:r>
      <w:r>
        <w:rPr>
          <w:rFonts w:ascii="Arial" w:hAnsi="Arial"/>
          <w:spacing w:val="-1"/>
          <w:sz w:val="26"/>
        </w:rPr>
        <w:t>Penal Law 15.05(1).</w:t>
      </w:r>
    </w:p>
    <w:p w14:paraId="5C8AB8A5" w14:textId="77777777" w:rsidR="00812079" w:rsidRDefault="00812079">
      <w:pPr>
        <w:widowControl/>
        <w:rPr>
          <w:sz w:val="24"/>
        </w:rPr>
        <w:sectPr w:rsidR="00812079">
          <w:pgSz w:w="12240" w:h="15840"/>
          <w:pgMar w:top="1440" w:right="2143" w:bottom="984" w:left="2157" w:header="720" w:footer="720" w:gutter="0"/>
          <w:cols w:space="720"/>
          <w:noEndnote/>
        </w:sectPr>
      </w:pPr>
    </w:p>
    <w:p w14:paraId="50DA8541" w14:textId="77777777" w:rsidR="00812079" w:rsidRDefault="00812079">
      <w:pPr>
        <w:numPr>
          <w:ilvl w:val="0"/>
          <w:numId w:val="1"/>
        </w:numPr>
        <w:kinsoku w:val="0"/>
        <w:overflowPunct w:val="0"/>
        <w:autoSpaceDE/>
        <w:autoSpaceDN/>
        <w:adjustRightInd/>
        <w:spacing w:before="8" w:line="318" w:lineRule="exact"/>
        <w:textAlignment w:val="baseline"/>
        <w:rPr>
          <w:rFonts w:ascii="Arial" w:hAnsi="Arial"/>
          <w:sz w:val="28"/>
        </w:rPr>
      </w:pPr>
      <w:r>
        <w:rPr>
          <w:rFonts w:ascii="Arial" w:hAnsi="Arial"/>
          <w:sz w:val="28"/>
        </w:rPr>
        <w:lastRenderedPageBreak/>
        <w:t>That the defendant did so intentionally; and</w:t>
      </w:r>
    </w:p>
    <w:p w14:paraId="6A36FD5B" w14:textId="77777777" w:rsidR="00812079" w:rsidRDefault="00812079">
      <w:pPr>
        <w:numPr>
          <w:ilvl w:val="0"/>
          <w:numId w:val="1"/>
        </w:numPr>
        <w:kinsoku w:val="0"/>
        <w:overflowPunct w:val="0"/>
        <w:autoSpaceDE/>
        <w:autoSpaceDN/>
        <w:adjustRightInd/>
        <w:spacing w:before="331" w:line="322" w:lineRule="exact"/>
        <w:jc w:val="both"/>
        <w:textAlignment w:val="baseline"/>
        <w:rPr>
          <w:rFonts w:ascii="Arial" w:hAnsi="Arial"/>
          <w:sz w:val="28"/>
        </w:rPr>
      </w:pPr>
      <w:r>
        <w:rPr>
          <w:rFonts w:ascii="Arial" w:hAnsi="Arial"/>
          <w:sz w:val="28"/>
        </w:rPr>
        <w:t>That the defendant did so for his/her own, or another’s sexual arousal or sexual gratification.</w:t>
      </w:r>
    </w:p>
    <w:p w14:paraId="5AA277BB" w14:textId="77777777" w:rsidR="00812079" w:rsidRDefault="00812079">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25D81B73" w14:textId="77777777" w:rsidR="00812079" w:rsidRDefault="00812079">
      <w:pPr>
        <w:kinsoku w:val="0"/>
        <w:overflowPunct w:val="0"/>
        <w:autoSpaceDE/>
        <w:autoSpaceDN/>
        <w:adjustRightInd/>
        <w:spacing w:before="324" w:line="322"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sectPr w:rsidR="00812079" w:rsidSect="00812079">
      <w:pgSz w:w="12240" w:h="15840"/>
      <w:pgMar w:top="1440" w:right="2142" w:bottom="10104" w:left="21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4018"/>
    <w:multiLevelType w:val="singleLevel"/>
    <w:tmpl w:val="09290BA9"/>
    <w:lvl w:ilvl="0">
      <w:start w:val="2"/>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79"/>
    <w:rsid w:val="00812079"/>
    <w:rsid w:val="00CD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FF52668"/>
  <w14:defaultImageDpi w14:val="0"/>
  <w15:docId w15:val="{01A6094B-9B19-49B2-A948-4A53DA37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2019-09-28T14:16:00Z</dcterms:created>
  <dcterms:modified xsi:type="dcterms:W3CDTF">2019-09-28T14:16:00Z</dcterms:modified>
</cp:coreProperties>
</file>