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9AA9" w14:textId="3E45FEDF" w:rsidR="00A96DE0" w:rsidRPr="00F25C6F" w:rsidRDefault="00A96DE0">
      <w:pPr>
        <w:widowControl/>
        <w:spacing w:line="251" w:lineRule="auto"/>
        <w:jc w:val="center"/>
        <w:rPr>
          <w:rFonts w:ascii="Arial" w:eastAsia="Yu Gothic UI" w:hAnsi="Arial" w:cs="Arial"/>
          <w:b/>
          <w:bCs/>
          <w:sz w:val="28"/>
          <w:szCs w:val="28"/>
        </w:rPr>
      </w:pPr>
      <w:r w:rsidRPr="00F25C6F">
        <w:rPr>
          <w:rFonts w:ascii="Arial" w:eastAsia="Yu Gothic UI" w:hAnsi="Arial" w:cs="Arial"/>
          <w:b/>
          <w:bCs/>
          <w:sz w:val="28"/>
          <w:szCs w:val="28"/>
        </w:rPr>
        <w:t>AGGRAVATED FAMILY OFFENSE</w:t>
      </w:r>
    </w:p>
    <w:p w14:paraId="3CA70EC0" w14:textId="77777777" w:rsidR="00A96DE0" w:rsidRPr="00F25C6F" w:rsidRDefault="00A96DE0">
      <w:pPr>
        <w:widowControl/>
        <w:spacing w:line="251" w:lineRule="auto"/>
        <w:jc w:val="center"/>
        <w:rPr>
          <w:rFonts w:ascii="Arial" w:eastAsia="Yu Gothic UI" w:hAnsi="Arial" w:cs="Arial"/>
          <w:b/>
          <w:bCs/>
          <w:sz w:val="28"/>
          <w:szCs w:val="28"/>
        </w:rPr>
      </w:pPr>
      <w:r w:rsidRPr="00F25C6F">
        <w:rPr>
          <w:rFonts w:ascii="Arial" w:eastAsia="Yu Gothic UI" w:hAnsi="Arial" w:cs="Arial"/>
          <w:b/>
          <w:bCs/>
          <w:sz w:val="28"/>
          <w:szCs w:val="28"/>
        </w:rPr>
        <w:t xml:space="preserve">Penal Law </w:t>
      </w:r>
      <w:r w:rsidRPr="00F25C6F">
        <w:rPr>
          <w:rFonts w:ascii="Arial" w:eastAsia="Yu Gothic UI" w:hAnsi="Arial" w:cs="Arial"/>
          <w:b/>
          <w:bCs/>
          <w:sz w:val="28"/>
          <w:szCs w:val="28"/>
        </w:rPr>
        <w:sym w:font="WP TypographicSymbols" w:char="0027"/>
      </w:r>
      <w:r w:rsidRPr="00F25C6F">
        <w:rPr>
          <w:rFonts w:ascii="Arial" w:eastAsia="Yu Gothic UI" w:hAnsi="Arial" w:cs="Arial"/>
          <w:b/>
          <w:bCs/>
          <w:sz w:val="28"/>
          <w:szCs w:val="28"/>
        </w:rPr>
        <w:t xml:space="preserve"> 240.75</w:t>
      </w:r>
    </w:p>
    <w:p w14:paraId="6FEDAEEB" w14:textId="77777777" w:rsidR="00A96DE0" w:rsidRPr="00F25C6F" w:rsidRDefault="00A96DE0">
      <w:pPr>
        <w:widowControl/>
        <w:spacing w:line="251" w:lineRule="auto"/>
        <w:jc w:val="center"/>
        <w:rPr>
          <w:rFonts w:ascii="Arial" w:eastAsia="Yu Gothic UI" w:hAnsi="Arial" w:cs="Arial"/>
          <w:sz w:val="28"/>
          <w:szCs w:val="28"/>
        </w:rPr>
      </w:pPr>
      <w:r w:rsidRPr="00F25C6F">
        <w:rPr>
          <w:rFonts w:ascii="Arial" w:eastAsia="Yu Gothic UI" w:hAnsi="Arial" w:cs="Arial"/>
          <w:b/>
          <w:bCs/>
          <w:sz w:val="28"/>
          <w:szCs w:val="28"/>
        </w:rPr>
        <w:t>(Committed on or after January 23, 2013)</w:t>
      </w:r>
    </w:p>
    <w:p w14:paraId="0C5C5F0A" w14:textId="77777777" w:rsidR="00A96DE0" w:rsidRPr="00F25C6F" w:rsidRDefault="00A96DE0">
      <w:pPr>
        <w:widowControl/>
        <w:spacing w:line="251" w:lineRule="auto"/>
        <w:jc w:val="both"/>
        <w:rPr>
          <w:rFonts w:ascii="Arial" w:eastAsia="Yu Gothic UI" w:hAnsi="Arial" w:cs="Arial"/>
          <w:sz w:val="28"/>
          <w:szCs w:val="28"/>
        </w:rPr>
      </w:pPr>
    </w:p>
    <w:p w14:paraId="4EB6CB3D"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A person is guilty of aggravated family offense when he or she commits a misdemeanor</w:t>
      </w:r>
      <w:r w:rsidRPr="00F25C6F">
        <w:rPr>
          <w:rStyle w:val="FootnoteReference"/>
          <w:rFonts w:ascii="Arial" w:eastAsia="Yu Gothic UI" w:hAnsi="Arial" w:cs="Arial"/>
          <w:sz w:val="28"/>
          <w:szCs w:val="28"/>
          <w:vertAlign w:val="superscript"/>
        </w:rPr>
        <w:footnoteReference w:id="1"/>
      </w:r>
      <w:r w:rsidRPr="00F25C6F">
        <w:rPr>
          <w:rFonts w:ascii="Arial" w:eastAsia="Yu Gothic UI" w:hAnsi="Arial" w:cs="Arial"/>
          <w:sz w:val="28"/>
          <w:szCs w:val="28"/>
        </w:rPr>
        <w:t xml:space="preserve"> defined as a specified offense [and he or she has been convicted of one or more specified offenses within the immediately preceding five years],</w:t>
      </w:r>
      <w:r w:rsidRPr="00F25C6F">
        <w:rPr>
          <w:rStyle w:val="FootnoteReference"/>
          <w:rFonts w:ascii="Arial" w:eastAsia="Yu Gothic UI" w:hAnsi="Arial" w:cs="Arial"/>
          <w:sz w:val="28"/>
          <w:szCs w:val="28"/>
          <w:vertAlign w:val="superscript"/>
        </w:rPr>
        <w:footnoteReference w:id="2"/>
      </w:r>
      <w:r w:rsidRPr="00F25C6F">
        <w:rPr>
          <w:rFonts w:ascii="Arial" w:eastAsia="Yu Gothic UI" w:hAnsi="Arial" w:cs="Arial"/>
          <w:sz w:val="28"/>
          <w:szCs w:val="28"/>
        </w:rPr>
        <w:t xml:space="preserve"> and when the defendant and the person against whom [the/each] offense was committed were members of the same family or household.</w:t>
      </w:r>
      <w:r w:rsidRPr="00F25C6F">
        <w:rPr>
          <w:rStyle w:val="FootnoteReference"/>
          <w:rFonts w:ascii="Arial" w:eastAsia="Yu Gothic UI" w:hAnsi="Arial" w:cs="Arial"/>
          <w:sz w:val="28"/>
          <w:szCs w:val="28"/>
          <w:vertAlign w:val="superscript"/>
        </w:rPr>
        <w:footnoteReference w:id="3"/>
      </w:r>
    </w:p>
    <w:p w14:paraId="559FBD5F" w14:textId="77777777" w:rsidR="00A96DE0" w:rsidRPr="00F25C6F" w:rsidRDefault="00A96DE0">
      <w:pPr>
        <w:widowControl/>
        <w:spacing w:line="251" w:lineRule="auto"/>
        <w:jc w:val="both"/>
        <w:rPr>
          <w:rFonts w:ascii="Arial" w:eastAsia="Yu Gothic UI" w:hAnsi="Arial" w:cs="Arial"/>
          <w:sz w:val="28"/>
          <w:szCs w:val="28"/>
        </w:rPr>
      </w:pPr>
    </w:p>
    <w:p w14:paraId="6C30DA06"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The following terms used in that definition have a special meaning:</w:t>
      </w:r>
    </w:p>
    <w:p w14:paraId="29290354" w14:textId="77777777" w:rsidR="00A96DE0" w:rsidRPr="00F25C6F" w:rsidRDefault="00A96DE0">
      <w:pPr>
        <w:widowControl/>
        <w:spacing w:line="251" w:lineRule="auto"/>
        <w:jc w:val="both"/>
        <w:rPr>
          <w:rFonts w:ascii="Arial" w:eastAsia="Yu Gothic UI" w:hAnsi="Arial" w:cs="Arial"/>
          <w:sz w:val="28"/>
          <w:szCs w:val="28"/>
        </w:rPr>
      </w:pPr>
    </w:p>
    <w:p w14:paraId="25717DC4"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A SPECIFIED OFFENSE is (</w:t>
      </w:r>
      <w:r w:rsidRPr="00F25C6F">
        <w:rPr>
          <w:rFonts w:ascii="Arial" w:eastAsia="Yu Gothic UI" w:hAnsi="Arial" w:cs="Arial"/>
          <w:i/>
          <w:iCs/>
          <w:sz w:val="28"/>
          <w:szCs w:val="28"/>
          <w:u w:val="single"/>
        </w:rPr>
        <w:t>specify the offense[s]</w:t>
      </w:r>
      <w:r w:rsidRPr="00F25C6F">
        <w:rPr>
          <w:rFonts w:ascii="Arial" w:eastAsia="Yu Gothic UI" w:hAnsi="Arial" w:cs="Arial"/>
          <w:sz w:val="28"/>
          <w:szCs w:val="28"/>
        </w:rPr>
        <w:t>).</w:t>
      </w:r>
    </w:p>
    <w:p w14:paraId="0DF2904A" w14:textId="1D7F74C3" w:rsidR="00A96DE0" w:rsidRPr="00F25C6F" w:rsidRDefault="00A96DE0">
      <w:pPr>
        <w:widowControl/>
        <w:spacing w:line="251" w:lineRule="auto"/>
        <w:jc w:val="both"/>
        <w:rPr>
          <w:rFonts w:ascii="Arial" w:eastAsia="Yu Gothic UI" w:hAnsi="Arial" w:cs="Arial"/>
        </w:rPr>
      </w:pPr>
      <w:r w:rsidRPr="00F25C6F">
        <w:rPr>
          <w:rFonts w:ascii="Arial" w:eastAsia="Yu Gothic UI" w:hAnsi="Arial" w:cs="Arial"/>
          <w:b/>
          <w:bCs/>
          <w:i/>
          <w:iCs/>
        </w:rPr>
        <w:t>Note:</w:t>
      </w:r>
      <w:r w:rsidRPr="00F25C6F">
        <w:rPr>
          <w:rFonts w:ascii="Arial" w:eastAsia="Yu Gothic UI" w:hAnsi="Arial" w:cs="Arial"/>
          <w:i/>
          <w:iCs/>
        </w:rPr>
        <w:t xml:space="preserve"> Here, if the </w:t>
      </w:r>
      <w:r w:rsidR="00D21C16" w:rsidRPr="00F25C6F">
        <w:rPr>
          <w:rFonts w:ascii="Arial" w:eastAsia="Arial" w:hAnsi="Arial"/>
          <w:i/>
        </w:rPr>
        <w:t xml:space="preserve">“one or more </w:t>
      </w:r>
      <w:r w:rsidRPr="00F25C6F">
        <w:rPr>
          <w:rFonts w:ascii="Arial" w:eastAsia="Yu Gothic UI" w:hAnsi="Arial" w:cs="Arial"/>
          <w:i/>
          <w:iCs/>
        </w:rPr>
        <w:t>specified offense</w:t>
      </w:r>
      <w:r w:rsidR="00885F87" w:rsidRPr="00F25C6F">
        <w:rPr>
          <w:rFonts w:ascii="Arial" w:eastAsia="Yu Gothic UI" w:hAnsi="Arial" w:cs="Arial"/>
          <w:i/>
          <w:iCs/>
        </w:rPr>
        <w:t>(s)</w:t>
      </w:r>
      <w:r w:rsidRPr="00F25C6F">
        <w:rPr>
          <w:rFonts w:ascii="Arial" w:eastAsia="Yu Gothic UI" w:hAnsi="Arial" w:cs="Arial"/>
          <w:i/>
          <w:iCs/>
        </w:rPr>
        <w:sym w:font="WP TypographicSymbols" w:char="0040"/>
      </w:r>
      <w:r w:rsidRPr="00F25C6F">
        <w:rPr>
          <w:rFonts w:ascii="Arial" w:eastAsia="Yu Gothic UI" w:hAnsi="Arial" w:cs="Arial"/>
          <w:i/>
          <w:iCs/>
        </w:rPr>
        <w:t xml:space="preserve"> is a separately charged offense, the court may incorporate by reference its instruction to the jury on that offense; otherwise, the court must instruct the jury on the </w:t>
      </w:r>
      <w:r w:rsidRPr="00F25C6F">
        <w:rPr>
          <w:rFonts w:ascii="Arial" w:eastAsia="Yu Gothic UI" w:hAnsi="Arial" w:cs="Arial"/>
          <w:i/>
          <w:iCs/>
        </w:rPr>
        <w:sym w:font="WP TypographicSymbols" w:char="0041"/>
      </w:r>
      <w:r w:rsidRPr="00F25C6F">
        <w:rPr>
          <w:rFonts w:ascii="Arial" w:eastAsia="Yu Gothic UI" w:hAnsi="Arial" w:cs="Arial"/>
          <w:i/>
          <w:iCs/>
        </w:rPr>
        <w:t>specified offense.</w:t>
      </w:r>
      <w:r w:rsidRPr="00F25C6F">
        <w:rPr>
          <w:rFonts w:ascii="Arial" w:eastAsia="Yu Gothic UI" w:hAnsi="Arial" w:cs="Arial"/>
          <w:i/>
          <w:iCs/>
        </w:rPr>
        <w:sym w:font="WP TypographicSymbols" w:char="0040"/>
      </w:r>
    </w:p>
    <w:p w14:paraId="2D961052" w14:textId="77777777" w:rsidR="00A96DE0" w:rsidRPr="00F25C6F" w:rsidRDefault="00A96DE0">
      <w:pPr>
        <w:widowControl/>
        <w:spacing w:line="251" w:lineRule="auto"/>
        <w:jc w:val="both"/>
        <w:rPr>
          <w:rFonts w:ascii="Arial" w:eastAsia="Yu Gothic UI" w:hAnsi="Arial" w:cs="Arial"/>
          <w:sz w:val="28"/>
          <w:szCs w:val="28"/>
        </w:rPr>
      </w:pPr>
    </w:p>
    <w:p w14:paraId="70FCDE6C" w14:textId="77777777" w:rsidR="00A96DE0" w:rsidRPr="00F25C6F" w:rsidRDefault="00A96DE0">
      <w:pPr>
        <w:widowControl/>
        <w:spacing w:line="251" w:lineRule="auto"/>
        <w:jc w:val="both"/>
        <w:rPr>
          <w:rFonts w:ascii="Arial" w:eastAsia="Yu Gothic UI" w:hAnsi="Arial" w:cs="Arial"/>
          <w:sz w:val="28"/>
          <w:szCs w:val="28"/>
        </w:rPr>
        <w:sectPr w:rsidR="00A96DE0" w:rsidRPr="00F25C6F" w:rsidSect="00F862DB">
          <w:pgSz w:w="12240" w:h="15840"/>
          <w:pgMar w:top="1080" w:right="2160" w:bottom="1080" w:left="2160" w:header="1440" w:footer="1080" w:gutter="0"/>
          <w:cols w:space="720"/>
          <w:noEndnote/>
          <w:docGrid w:linePitch="326"/>
        </w:sectPr>
      </w:pPr>
    </w:p>
    <w:p w14:paraId="2FEDBDC3"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 xml:space="preserve">MEMBERS OF THE SAME FAMILY OR HOUSEHOLD are: </w:t>
      </w:r>
    </w:p>
    <w:p w14:paraId="4E95A44D" w14:textId="77777777" w:rsidR="00A96DE0" w:rsidRPr="00F25C6F" w:rsidRDefault="00A96DE0">
      <w:pPr>
        <w:widowControl/>
        <w:spacing w:line="251" w:lineRule="auto"/>
        <w:jc w:val="both"/>
        <w:rPr>
          <w:rFonts w:ascii="Arial" w:eastAsia="Yu Gothic UI" w:hAnsi="Arial" w:cs="Arial"/>
          <w:sz w:val="28"/>
          <w:szCs w:val="28"/>
        </w:rPr>
      </w:pPr>
    </w:p>
    <w:p w14:paraId="5DCCFC3B" w14:textId="77777777" w:rsidR="00A96DE0" w:rsidRPr="00F25C6F" w:rsidRDefault="00A96DE0">
      <w:pPr>
        <w:widowControl/>
        <w:spacing w:line="251" w:lineRule="auto"/>
        <w:jc w:val="both"/>
        <w:rPr>
          <w:rFonts w:ascii="Arial" w:eastAsia="Yu Gothic UI" w:hAnsi="Arial" w:cs="Arial"/>
          <w:sz w:val="28"/>
          <w:szCs w:val="28"/>
        </w:rPr>
      </w:pPr>
      <w:r w:rsidRPr="00F25C6F">
        <w:rPr>
          <w:rFonts w:ascii="Arial" w:eastAsia="Yu Gothic UI" w:hAnsi="Arial" w:cs="Arial"/>
          <w:i/>
          <w:iCs/>
          <w:sz w:val="28"/>
          <w:szCs w:val="28"/>
        </w:rPr>
        <w:lastRenderedPageBreak/>
        <w:t>Select appropriate alternative(s):</w:t>
      </w:r>
    </w:p>
    <w:p w14:paraId="1BF5509B" w14:textId="77777777" w:rsidR="00A96DE0" w:rsidRPr="00F25C6F" w:rsidRDefault="00A96DE0">
      <w:pPr>
        <w:widowControl/>
        <w:spacing w:line="251" w:lineRule="auto"/>
        <w:jc w:val="both"/>
        <w:rPr>
          <w:rFonts w:ascii="Arial" w:eastAsia="Yu Gothic UI" w:hAnsi="Arial" w:cs="Arial"/>
          <w:sz w:val="28"/>
          <w:szCs w:val="28"/>
        </w:rPr>
      </w:pPr>
    </w:p>
    <w:p w14:paraId="2D2216BD"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 xml:space="preserve">persons related by consanguinity or affinity </w:t>
      </w:r>
      <w:r w:rsidRPr="00F25C6F">
        <w:rPr>
          <w:rStyle w:val="FootnoteReference"/>
          <w:rFonts w:ascii="Arial" w:eastAsia="Yu Gothic UI" w:hAnsi="Arial" w:cs="Arial"/>
          <w:sz w:val="28"/>
          <w:szCs w:val="28"/>
          <w:vertAlign w:val="superscript"/>
        </w:rPr>
        <w:footnoteReference w:id="4"/>
      </w:r>
      <w:r w:rsidRPr="00F25C6F">
        <w:rPr>
          <w:rFonts w:ascii="Arial" w:eastAsia="Yu Gothic UI" w:hAnsi="Arial" w:cs="Arial"/>
          <w:sz w:val="28"/>
          <w:szCs w:val="28"/>
        </w:rPr>
        <w:t xml:space="preserve">; </w:t>
      </w:r>
    </w:p>
    <w:p w14:paraId="0FCF0EA1" w14:textId="77777777" w:rsidR="00A96DE0" w:rsidRPr="00F25C6F" w:rsidRDefault="00A96DE0">
      <w:pPr>
        <w:widowControl/>
        <w:spacing w:line="251" w:lineRule="auto"/>
        <w:ind w:firstLine="720"/>
        <w:jc w:val="both"/>
        <w:rPr>
          <w:rFonts w:ascii="Arial" w:eastAsia="Yu Gothic UI" w:hAnsi="Arial" w:cs="Arial"/>
          <w:sz w:val="28"/>
          <w:szCs w:val="28"/>
        </w:rPr>
      </w:pPr>
    </w:p>
    <w:p w14:paraId="1570F249"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 xml:space="preserve">persons legally married to one another; </w:t>
      </w:r>
    </w:p>
    <w:p w14:paraId="290B8C0D" w14:textId="77777777" w:rsidR="00A96DE0" w:rsidRPr="00F25C6F" w:rsidRDefault="00A96DE0">
      <w:pPr>
        <w:widowControl/>
        <w:spacing w:line="251" w:lineRule="auto"/>
        <w:ind w:firstLine="720"/>
        <w:jc w:val="both"/>
        <w:rPr>
          <w:rFonts w:ascii="Arial" w:eastAsia="Yu Gothic UI" w:hAnsi="Arial" w:cs="Arial"/>
          <w:sz w:val="28"/>
          <w:szCs w:val="28"/>
        </w:rPr>
      </w:pPr>
    </w:p>
    <w:p w14:paraId="3B0884AC" w14:textId="77777777" w:rsidR="00A96DE0" w:rsidRPr="00F25C6F" w:rsidRDefault="00A96DE0">
      <w:pPr>
        <w:widowControl/>
        <w:spacing w:line="251" w:lineRule="auto"/>
        <w:ind w:left="720"/>
        <w:jc w:val="both"/>
        <w:rPr>
          <w:rFonts w:ascii="Arial" w:eastAsia="Yu Gothic UI" w:hAnsi="Arial" w:cs="Arial"/>
          <w:sz w:val="28"/>
          <w:szCs w:val="28"/>
        </w:rPr>
      </w:pPr>
      <w:r w:rsidRPr="00F25C6F">
        <w:rPr>
          <w:rFonts w:ascii="Arial" w:eastAsia="Yu Gothic UI" w:hAnsi="Arial" w:cs="Arial"/>
          <w:sz w:val="28"/>
          <w:szCs w:val="28"/>
        </w:rPr>
        <w:t xml:space="preserve">persons formerly married to one another regardless of whether they still reside in the same household;  </w:t>
      </w:r>
    </w:p>
    <w:p w14:paraId="50D68BEE" w14:textId="77777777" w:rsidR="00A96DE0" w:rsidRPr="00F25C6F" w:rsidRDefault="00A96DE0">
      <w:pPr>
        <w:widowControl/>
        <w:spacing w:line="251" w:lineRule="auto"/>
        <w:ind w:firstLine="720"/>
        <w:jc w:val="both"/>
        <w:rPr>
          <w:rFonts w:ascii="Arial" w:eastAsia="Yu Gothic UI" w:hAnsi="Arial" w:cs="Arial"/>
          <w:sz w:val="28"/>
          <w:szCs w:val="28"/>
        </w:rPr>
      </w:pPr>
    </w:p>
    <w:p w14:paraId="51C3144F" w14:textId="77777777" w:rsidR="00A96DE0" w:rsidRPr="00F25C6F" w:rsidRDefault="00A96DE0">
      <w:pPr>
        <w:widowControl/>
        <w:spacing w:line="251" w:lineRule="auto"/>
        <w:ind w:left="720"/>
        <w:jc w:val="both"/>
        <w:rPr>
          <w:rFonts w:ascii="Arial" w:eastAsia="Yu Gothic UI" w:hAnsi="Arial" w:cs="Arial"/>
          <w:sz w:val="28"/>
          <w:szCs w:val="28"/>
        </w:rPr>
      </w:pPr>
      <w:r w:rsidRPr="00F25C6F">
        <w:rPr>
          <w:rFonts w:ascii="Arial" w:eastAsia="Yu Gothic UI" w:hAnsi="Arial" w:cs="Arial"/>
          <w:sz w:val="28"/>
          <w:szCs w:val="28"/>
        </w:rPr>
        <w:t xml:space="preserve">persons who have a child in common, regardless of whether such persons have been married or have lived together at any time; </w:t>
      </w:r>
    </w:p>
    <w:p w14:paraId="43EEF54A" w14:textId="77777777" w:rsidR="00A96DE0" w:rsidRPr="00F25C6F" w:rsidRDefault="00A96DE0">
      <w:pPr>
        <w:widowControl/>
        <w:spacing w:line="251" w:lineRule="auto"/>
        <w:ind w:firstLine="720"/>
        <w:jc w:val="both"/>
        <w:rPr>
          <w:rFonts w:ascii="Arial" w:eastAsia="Yu Gothic UI" w:hAnsi="Arial" w:cs="Arial"/>
          <w:sz w:val="28"/>
          <w:szCs w:val="28"/>
        </w:rPr>
      </w:pPr>
    </w:p>
    <w:p w14:paraId="4144E283" w14:textId="77777777" w:rsidR="00A96DE0" w:rsidRPr="00F25C6F" w:rsidRDefault="00A96DE0">
      <w:pPr>
        <w:widowControl/>
        <w:spacing w:line="251" w:lineRule="auto"/>
        <w:ind w:left="720"/>
        <w:jc w:val="both"/>
        <w:rPr>
          <w:rFonts w:ascii="Arial" w:eastAsia="Yu Gothic UI" w:hAnsi="Arial" w:cs="Arial"/>
          <w:sz w:val="28"/>
          <w:szCs w:val="28"/>
        </w:rPr>
      </w:pPr>
      <w:r w:rsidRPr="00F25C6F">
        <w:rPr>
          <w:rFonts w:ascii="Arial" w:eastAsia="Yu Gothic UI" w:hAnsi="Arial" w:cs="Arial"/>
          <w:sz w:val="28"/>
          <w:szCs w:val="28"/>
        </w:rPr>
        <w:t xml:space="preserve">persons who are not related by consanguinity or affinity and who are or have been in an intimate relationship regardless of whether such persons have lived together at any time. </w:t>
      </w:r>
    </w:p>
    <w:p w14:paraId="0AB29223" w14:textId="77777777" w:rsidR="00A96DE0" w:rsidRPr="00F25C6F" w:rsidRDefault="00A96DE0">
      <w:pPr>
        <w:widowControl/>
        <w:spacing w:line="251" w:lineRule="auto"/>
        <w:jc w:val="both"/>
        <w:rPr>
          <w:rFonts w:ascii="Arial" w:eastAsia="Yu Gothic UI" w:hAnsi="Arial" w:cs="Arial"/>
          <w:sz w:val="28"/>
          <w:szCs w:val="28"/>
        </w:rPr>
      </w:pPr>
    </w:p>
    <w:p w14:paraId="7F9CF452" w14:textId="77777777" w:rsidR="00A96DE0" w:rsidRPr="00F25C6F" w:rsidRDefault="00A96DE0">
      <w:pPr>
        <w:widowControl/>
        <w:spacing w:line="251" w:lineRule="auto"/>
        <w:ind w:left="720"/>
        <w:jc w:val="both"/>
        <w:rPr>
          <w:rFonts w:ascii="Arial" w:eastAsia="Yu Gothic UI" w:hAnsi="Arial" w:cs="Arial"/>
          <w:sz w:val="28"/>
          <w:szCs w:val="28"/>
        </w:rPr>
      </w:pPr>
      <w:r w:rsidRPr="00F25C6F">
        <w:rPr>
          <w:rFonts w:ascii="Arial" w:eastAsia="Yu Gothic UI" w:hAnsi="Arial" w:cs="Arial"/>
          <w:sz w:val="28"/>
          <w:szCs w:val="28"/>
        </w:rPr>
        <w:t xml:space="preserve">Factors [you] may consider in determining whether a relationship is an "intimate relationship" include but are not limited to: </w:t>
      </w:r>
    </w:p>
    <w:p w14:paraId="4355E30D" w14:textId="77777777" w:rsidR="00A96DE0" w:rsidRPr="00F25C6F" w:rsidRDefault="00A96DE0">
      <w:pPr>
        <w:widowControl/>
        <w:spacing w:line="251" w:lineRule="auto"/>
        <w:jc w:val="both"/>
        <w:rPr>
          <w:rFonts w:ascii="Arial" w:eastAsia="Yu Gothic UI" w:hAnsi="Arial" w:cs="Arial"/>
          <w:sz w:val="28"/>
          <w:szCs w:val="28"/>
        </w:rPr>
      </w:pPr>
    </w:p>
    <w:p w14:paraId="50F44DE7" w14:textId="77777777" w:rsidR="00A96DE0" w:rsidRPr="00F25C6F" w:rsidRDefault="00A96DE0">
      <w:pPr>
        <w:widowControl/>
        <w:spacing w:line="251" w:lineRule="auto"/>
        <w:ind w:left="1440"/>
        <w:jc w:val="both"/>
        <w:rPr>
          <w:rFonts w:ascii="Arial" w:eastAsia="Yu Gothic UI" w:hAnsi="Arial" w:cs="Arial"/>
          <w:sz w:val="28"/>
          <w:szCs w:val="28"/>
        </w:rPr>
      </w:pPr>
      <w:r w:rsidRPr="00F25C6F">
        <w:rPr>
          <w:rFonts w:ascii="Arial" w:eastAsia="Yu Gothic UI" w:hAnsi="Arial" w:cs="Arial"/>
          <w:sz w:val="28"/>
          <w:szCs w:val="28"/>
        </w:rPr>
        <w:t xml:space="preserve">the nature or type of relationship, regardless of whether the relationship is sexual in nature;  </w:t>
      </w:r>
    </w:p>
    <w:p w14:paraId="475D6B23" w14:textId="77777777" w:rsidR="00A96DE0" w:rsidRPr="00F25C6F" w:rsidRDefault="00A96DE0">
      <w:pPr>
        <w:widowControl/>
        <w:spacing w:line="251" w:lineRule="auto"/>
        <w:ind w:left="720"/>
        <w:jc w:val="both"/>
        <w:rPr>
          <w:rFonts w:ascii="Arial" w:eastAsia="Yu Gothic UI" w:hAnsi="Arial" w:cs="Arial"/>
          <w:sz w:val="28"/>
          <w:szCs w:val="28"/>
        </w:rPr>
      </w:pPr>
    </w:p>
    <w:p w14:paraId="65E3FDD9" w14:textId="77777777" w:rsidR="00A96DE0" w:rsidRPr="00F25C6F" w:rsidRDefault="00A96DE0">
      <w:pPr>
        <w:widowControl/>
        <w:spacing w:line="251" w:lineRule="auto"/>
        <w:ind w:left="1440"/>
        <w:jc w:val="both"/>
        <w:rPr>
          <w:rFonts w:ascii="Arial" w:eastAsia="Yu Gothic UI" w:hAnsi="Arial" w:cs="Arial"/>
          <w:sz w:val="28"/>
          <w:szCs w:val="28"/>
        </w:rPr>
      </w:pPr>
      <w:r w:rsidRPr="00F25C6F">
        <w:rPr>
          <w:rFonts w:ascii="Arial" w:eastAsia="Yu Gothic UI" w:hAnsi="Arial" w:cs="Arial"/>
          <w:sz w:val="28"/>
          <w:szCs w:val="28"/>
        </w:rPr>
        <w:t xml:space="preserve">the frequency of interaction between the persons;  and the duration of the relationship.  </w:t>
      </w:r>
    </w:p>
    <w:p w14:paraId="768E4964" w14:textId="77777777" w:rsidR="00A96DE0" w:rsidRPr="00F25C6F" w:rsidRDefault="00A96DE0">
      <w:pPr>
        <w:widowControl/>
        <w:spacing w:line="251" w:lineRule="auto"/>
        <w:ind w:left="1440"/>
        <w:jc w:val="both"/>
        <w:rPr>
          <w:rFonts w:ascii="Arial" w:eastAsia="Yu Gothic UI" w:hAnsi="Arial" w:cs="Arial"/>
          <w:sz w:val="28"/>
          <w:szCs w:val="28"/>
        </w:rPr>
        <w:sectPr w:rsidR="00A96DE0" w:rsidRPr="00F25C6F">
          <w:footerReference w:type="default" r:id="rId6"/>
          <w:type w:val="continuous"/>
          <w:pgSz w:w="12240" w:h="15840"/>
          <w:pgMar w:top="1440" w:right="2160" w:bottom="1080" w:left="2160" w:header="1440" w:footer="1080" w:gutter="0"/>
          <w:cols w:space="720"/>
          <w:noEndnote/>
        </w:sectPr>
      </w:pPr>
    </w:p>
    <w:p w14:paraId="4BA2802E" w14:textId="77777777" w:rsidR="00A96DE0" w:rsidRPr="00F25C6F" w:rsidRDefault="00A96DE0">
      <w:pPr>
        <w:widowControl/>
        <w:spacing w:line="251" w:lineRule="auto"/>
        <w:ind w:left="720"/>
        <w:jc w:val="both"/>
        <w:rPr>
          <w:rFonts w:ascii="Arial" w:eastAsia="Yu Gothic UI" w:hAnsi="Arial" w:cs="Arial"/>
          <w:sz w:val="28"/>
          <w:szCs w:val="28"/>
        </w:rPr>
      </w:pPr>
      <w:r w:rsidRPr="00F25C6F">
        <w:rPr>
          <w:rFonts w:ascii="Arial" w:eastAsia="Yu Gothic UI" w:hAnsi="Arial" w:cs="Arial"/>
          <w:sz w:val="28"/>
          <w:szCs w:val="28"/>
        </w:rPr>
        <w:lastRenderedPageBreak/>
        <w:t>Neither a casual acquaintance nor ordinary fraternization between two individuals in business or social contexts shall be deemed to constitute an "intimate relationship.</w:t>
      </w:r>
      <w:r w:rsidRPr="00F25C6F">
        <w:rPr>
          <w:rFonts w:ascii="Arial" w:eastAsia="Yu Gothic UI" w:hAnsi="Arial" w:cs="Arial"/>
          <w:sz w:val="28"/>
          <w:szCs w:val="28"/>
        </w:rPr>
        <w:sym w:font="WP TypographicSymbols" w:char="0040"/>
      </w:r>
      <w:r w:rsidRPr="00F25C6F">
        <w:rPr>
          <w:rStyle w:val="FootnoteReference"/>
          <w:rFonts w:ascii="Arial" w:eastAsia="Yu Gothic UI" w:hAnsi="Arial" w:cs="Arial"/>
          <w:sz w:val="28"/>
          <w:szCs w:val="28"/>
          <w:vertAlign w:val="superscript"/>
        </w:rPr>
        <w:footnoteReference w:id="5"/>
      </w:r>
    </w:p>
    <w:p w14:paraId="341C527B" w14:textId="77777777" w:rsidR="00A96DE0" w:rsidRPr="00F25C6F" w:rsidRDefault="00A96DE0">
      <w:pPr>
        <w:widowControl/>
        <w:spacing w:line="251" w:lineRule="auto"/>
        <w:jc w:val="both"/>
        <w:rPr>
          <w:rFonts w:ascii="Arial" w:eastAsia="Yu Gothic UI" w:hAnsi="Arial" w:cs="Arial"/>
          <w:sz w:val="28"/>
          <w:szCs w:val="28"/>
        </w:rPr>
      </w:pPr>
    </w:p>
    <w:p w14:paraId="3D95167F" w14:textId="77777777" w:rsidR="00A96DE0" w:rsidRPr="00F25C6F" w:rsidRDefault="00A96DE0">
      <w:pPr>
        <w:widowControl/>
        <w:spacing w:line="251" w:lineRule="auto"/>
        <w:jc w:val="both"/>
        <w:rPr>
          <w:rFonts w:ascii="Arial" w:eastAsia="Yu Gothic UI" w:hAnsi="Arial" w:cs="Arial"/>
          <w:sz w:val="28"/>
          <w:szCs w:val="28"/>
        </w:rPr>
      </w:pPr>
      <w:r w:rsidRPr="00F25C6F">
        <w:rPr>
          <w:rFonts w:ascii="Arial" w:eastAsia="Yu Gothic UI" w:hAnsi="Arial" w:cs="Arial"/>
          <w:i/>
          <w:iCs/>
          <w:sz w:val="28"/>
          <w:szCs w:val="28"/>
        </w:rPr>
        <w:t>Add if the defendant has denied that a prior conviction was committed within the requisite time period.</w:t>
      </w:r>
      <w:r w:rsidRPr="00F25C6F">
        <w:rPr>
          <w:rStyle w:val="FootnoteReference"/>
          <w:rFonts w:ascii="Arial" w:eastAsia="Yu Gothic UI" w:hAnsi="Arial" w:cs="Arial"/>
          <w:i/>
          <w:iCs/>
          <w:sz w:val="28"/>
          <w:szCs w:val="28"/>
          <w:vertAlign w:val="superscript"/>
        </w:rPr>
        <w:footnoteReference w:id="6"/>
      </w:r>
    </w:p>
    <w:p w14:paraId="1B8CC980" w14:textId="77777777" w:rsidR="00A96DE0" w:rsidRPr="00F25C6F" w:rsidRDefault="00A96DE0">
      <w:pPr>
        <w:widowControl/>
        <w:spacing w:line="251" w:lineRule="auto"/>
        <w:jc w:val="both"/>
        <w:rPr>
          <w:rFonts w:ascii="Arial" w:eastAsia="Yu Gothic UI" w:hAnsi="Arial" w:cs="Arial"/>
          <w:sz w:val="28"/>
          <w:szCs w:val="28"/>
        </w:rPr>
      </w:pPr>
    </w:p>
    <w:p w14:paraId="031AF24B"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The People alleged that the defendant had been convicted of the "specified offense" (</w:t>
      </w:r>
      <w:r w:rsidRPr="00F25C6F">
        <w:rPr>
          <w:rFonts w:ascii="Arial" w:eastAsia="Yu Gothic UI" w:hAnsi="Arial" w:cs="Arial"/>
          <w:i/>
          <w:iCs/>
          <w:sz w:val="28"/>
          <w:szCs w:val="28"/>
          <w:u w:val="single"/>
        </w:rPr>
        <w:t>specify</w:t>
      </w:r>
      <w:r w:rsidRPr="00F25C6F">
        <w:rPr>
          <w:rFonts w:ascii="Arial" w:eastAsia="Yu Gothic UI" w:hAnsi="Arial" w:cs="Arial"/>
          <w:sz w:val="28"/>
          <w:szCs w:val="28"/>
        </w:rPr>
        <w:t>) within the immediately preceding five years of the alleged commission of the present specified offense. In calculating the five year period, any period of time during which the defendant was incarcerated for any reason between the time of the commission of any of such previous offenses and the time of commission of the present crime shall be excluded and such five year period shall be extended by a period or periods equal to the time served under such incarceration.</w:t>
      </w:r>
    </w:p>
    <w:p w14:paraId="3BCDE2F7" w14:textId="77777777" w:rsidR="00A96DE0" w:rsidRPr="00F25C6F" w:rsidRDefault="00A96DE0">
      <w:pPr>
        <w:widowControl/>
        <w:spacing w:line="251" w:lineRule="auto"/>
        <w:jc w:val="both"/>
        <w:rPr>
          <w:rFonts w:ascii="Arial" w:eastAsia="Yu Gothic UI" w:hAnsi="Arial" w:cs="Arial"/>
          <w:sz w:val="28"/>
          <w:szCs w:val="28"/>
        </w:rPr>
      </w:pPr>
    </w:p>
    <w:p w14:paraId="6488EEA7" w14:textId="77777777" w:rsidR="00A96DE0" w:rsidRPr="00F25C6F" w:rsidRDefault="00A96DE0">
      <w:pPr>
        <w:widowControl/>
        <w:spacing w:line="251" w:lineRule="auto"/>
        <w:jc w:val="both"/>
        <w:rPr>
          <w:rFonts w:ascii="Arial" w:eastAsia="Yu Gothic UI" w:hAnsi="Arial" w:cs="Arial"/>
          <w:sz w:val="28"/>
          <w:szCs w:val="28"/>
        </w:rPr>
      </w:pPr>
      <w:r w:rsidRPr="00F25C6F">
        <w:rPr>
          <w:rFonts w:ascii="Arial" w:eastAsia="Yu Gothic UI" w:hAnsi="Arial" w:cs="Arial"/>
          <w:i/>
          <w:iCs/>
          <w:sz w:val="28"/>
          <w:szCs w:val="28"/>
        </w:rPr>
        <w:t>Add if the relationships of the present and previous parties are in issue:</w:t>
      </w:r>
    </w:p>
    <w:p w14:paraId="7438741A" w14:textId="77777777" w:rsidR="00A96DE0" w:rsidRPr="00F25C6F" w:rsidRDefault="00A96DE0">
      <w:pPr>
        <w:widowControl/>
        <w:spacing w:line="251" w:lineRule="auto"/>
        <w:jc w:val="both"/>
        <w:rPr>
          <w:rFonts w:ascii="Arial" w:eastAsia="Yu Gothic UI" w:hAnsi="Arial" w:cs="Arial"/>
          <w:sz w:val="28"/>
          <w:szCs w:val="28"/>
        </w:rPr>
        <w:sectPr w:rsidR="00A96DE0" w:rsidRPr="00F25C6F">
          <w:type w:val="continuous"/>
          <w:pgSz w:w="12240" w:h="15840"/>
          <w:pgMar w:top="1440" w:right="2160" w:bottom="1080" w:left="2160" w:header="1440" w:footer="1080" w:gutter="0"/>
          <w:cols w:space="720"/>
          <w:noEndnote/>
        </w:sectPr>
      </w:pPr>
    </w:p>
    <w:p w14:paraId="34CAF7D1"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 xml:space="preserve">The defendant and the person against whom the prior offense was [allegedly] committed must have been members of the same family or household.  Likewise, the defendant and the person against whom the current offense was allegedly committed must have been members of the same family or household.  However, the person against whom the current specified offense was allegedly committed  may be different from the person against whom the previous offense was committed and such </w:t>
      </w:r>
      <w:r w:rsidRPr="00F25C6F">
        <w:rPr>
          <w:rFonts w:ascii="Arial" w:eastAsia="Yu Gothic UI" w:hAnsi="Arial" w:cs="Arial"/>
          <w:sz w:val="28"/>
          <w:szCs w:val="28"/>
        </w:rPr>
        <w:lastRenderedPageBreak/>
        <w:t>persons do not need to be members of the same family or household.</w:t>
      </w:r>
    </w:p>
    <w:p w14:paraId="6991D5D4" w14:textId="77777777" w:rsidR="00A96DE0" w:rsidRPr="00F25C6F" w:rsidRDefault="00A96DE0">
      <w:pPr>
        <w:widowControl/>
        <w:spacing w:line="251" w:lineRule="auto"/>
        <w:jc w:val="both"/>
        <w:rPr>
          <w:rFonts w:ascii="Arial" w:eastAsia="Yu Gothic UI" w:hAnsi="Arial" w:cs="Arial"/>
          <w:sz w:val="28"/>
          <w:szCs w:val="28"/>
        </w:rPr>
      </w:pPr>
    </w:p>
    <w:p w14:paraId="1AC51C1B"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In order for you to find the defendant guilty of this crime, the People are required to prove, from all the evidence in the case, beyond a reasonable doubt, each of the following (two / three) elements:</w:t>
      </w:r>
    </w:p>
    <w:p w14:paraId="16D3F57A" w14:textId="77777777" w:rsidR="00A96DE0" w:rsidRPr="00F25C6F" w:rsidRDefault="00A96DE0">
      <w:pPr>
        <w:widowControl/>
        <w:spacing w:line="251" w:lineRule="auto"/>
        <w:jc w:val="both"/>
        <w:rPr>
          <w:rFonts w:ascii="Arial" w:eastAsia="Yu Gothic UI" w:hAnsi="Arial" w:cs="Arial"/>
          <w:sz w:val="28"/>
          <w:szCs w:val="28"/>
        </w:rPr>
      </w:pPr>
    </w:p>
    <w:p w14:paraId="5C7D0F9A"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1. That on or about  (</w:t>
      </w:r>
      <w:r w:rsidRPr="00F25C6F">
        <w:rPr>
          <w:rFonts w:ascii="Arial" w:eastAsia="Yu Gothic UI" w:hAnsi="Arial" w:cs="Arial"/>
          <w:i/>
          <w:iCs/>
          <w:sz w:val="28"/>
          <w:szCs w:val="28"/>
          <w:u w:val="single"/>
        </w:rPr>
        <w:t>date</w:t>
      </w:r>
      <w:r w:rsidRPr="00F25C6F">
        <w:rPr>
          <w:rFonts w:ascii="Arial" w:eastAsia="Yu Gothic UI" w:hAnsi="Arial" w:cs="Arial"/>
          <w:sz w:val="28"/>
          <w:szCs w:val="28"/>
        </w:rPr>
        <w:t>) , in the county of  (</w:t>
      </w:r>
      <w:r w:rsidRPr="00F25C6F">
        <w:rPr>
          <w:rFonts w:ascii="Arial" w:eastAsia="Yu Gothic UI" w:hAnsi="Arial" w:cs="Arial"/>
          <w:i/>
          <w:iCs/>
          <w:sz w:val="28"/>
          <w:szCs w:val="28"/>
          <w:u w:val="single"/>
        </w:rPr>
        <w:t>county</w:t>
      </w:r>
      <w:r w:rsidRPr="00F25C6F">
        <w:rPr>
          <w:rFonts w:ascii="Arial" w:eastAsia="Yu Gothic UI" w:hAnsi="Arial" w:cs="Arial"/>
          <w:sz w:val="28"/>
          <w:szCs w:val="28"/>
        </w:rPr>
        <w:t>) , the defendant,  (</w:t>
      </w:r>
      <w:r w:rsidRPr="00F25C6F">
        <w:rPr>
          <w:rFonts w:ascii="Arial" w:eastAsia="Yu Gothic UI" w:hAnsi="Arial" w:cs="Arial"/>
          <w:i/>
          <w:iCs/>
          <w:sz w:val="28"/>
          <w:szCs w:val="28"/>
          <w:u w:val="single"/>
        </w:rPr>
        <w:t>defendant's name</w:t>
      </w:r>
      <w:r w:rsidRPr="00F25C6F">
        <w:rPr>
          <w:rFonts w:ascii="Arial" w:eastAsia="Yu Gothic UI" w:hAnsi="Arial" w:cs="Arial"/>
          <w:sz w:val="28"/>
          <w:szCs w:val="28"/>
        </w:rPr>
        <w:t>), committed the specified offense of (</w:t>
      </w:r>
      <w:r w:rsidRPr="00F25C6F">
        <w:rPr>
          <w:rFonts w:ascii="Arial" w:eastAsia="Yu Gothic UI" w:hAnsi="Arial" w:cs="Arial"/>
          <w:i/>
          <w:iCs/>
          <w:sz w:val="28"/>
          <w:szCs w:val="28"/>
          <w:u w:val="single"/>
        </w:rPr>
        <w:t>specify</w:t>
      </w:r>
      <w:r w:rsidRPr="00F25C6F">
        <w:rPr>
          <w:rFonts w:ascii="Arial" w:eastAsia="Yu Gothic UI" w:hAnsi="Arial" w:cs="Arial"/>
          <w:sz w:val="28"/>
          <w:szCs w:val="28"/>
        </w:rPr>
        <w:t>); [and]</w:t>
      </w:r>
    </w:p>
    <w:p w14:paraId="44CC6F52" w14:textId="77777777" w:rsidR="00A96DE0" w:rsidRPr="00F25C6F" w:rsidRDefault="00A96DE0">
      <w:pPr>
        <w:widowControl/>
        <w:spacing w:line="251" w:lineRule="auto"/>
        <w:jc w:val="both"/>
        <w:rPr>
          <w:rFonts w:ascii="Arial" w:eastAsia="Yu Gothic UI" w:hAnsi="Arial" w:cs="Arial"/>
          <w:sz w:val="28"/>
          <w:szCs w:val="28"/>
        </w:rPr>
      </w:pPr>
    </w:p>
    <w:p w14:paraId="71D77799"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 xml:space="preserve">[2. That the defendant had been convicted of the </w:t>
      </w:r>
      <w:r w:rsidRPr="00F25C6F">
        <w:rPr>
          <w:rFonts w:ascii="Arial" w:eastAsia="Yu Gothic UI" w:hAnsi="Arial" w:cs="Arial"/>
          <w:sz w:val="28"/>
          <w:szCs w:val="28"/>
        </w:rPr>
        <w:sym w:font="WP TypographicSymbols" w:char="0041"/>
      </w:r>
      <w:r w:rsidRPr="00F25C6F">
        <w:rPr>
          <w:rFonts w:ascii="Arial" w:eastAsia="Yu Gothic UI" w:hAnsi="Arial" w:cs="Arial"/>
          <w:sz w:val="28"/>
          <w:szCs w:val="28"/>
        </w:rPr>
        <w:t>specified offense</w:t>
      </w:r>
      <w:r w:rsidRPr="00F25C6F">
        <w:rPr>
          <w:rFonts w:ascii="Arial" w:eastAsia="Yu Gothic UI" w:hAnsi="Arial" w:cs="Arial"/>
          <w:sz w:val="28"/>
          <w:szCs w:val="28"/>
        </w:rPr>
        <w:sym w:font="WP TypographicSymbols" w:char="0040"/>
      </w:r>
      <w:r w:rsidRPr="00F25C6F">
        <w:rPr>
          <w:rFonts w:ascii="Arial" w:eastAsia="Yu Gothic UI" w:hAnsi="Arial" w:cs="Arial"/>
          <w:sz w:val="28"/>
          <w:szCs w:val="28"/>
        </w:rPr>
        <w:t xml:space="preserve"> of  (</w:t>
      </w:r>
      <w:r w:rsidRPr="00F25C6F">
        <w:rPr>
          <w:rFonts w:ascii="Arial" w:eastAsia="Yu Gothic UI" w:hAnsi="Arial" w:cs="Arial"/>
          <w:i/>
          <w:iCs/>
          <w:sz w:val="28"/>
          <w:szCs w:val="28"/>
          <w:u w:val="single"/>
        </w:rPr>
        <w:t>specify</w:t>
      </w:r>
      <w:r w:rsidRPr="00F25C6F">
        <w:rPr>
          <w:rFonts w:ascii="Arial" w:eastAsia="Yu Gothic UI" w:hAnsi="Arial" w:cs="Arial"/>
          <w:sz w:val="28"/>
          <w:szCs w:val="28"/>
        </w:rPr>
        <w:t>) within the immediately preceding five years; and]</w:t>
      </w:r>
    </w:p>
    <w:p w14:paraId="72142E7A" w14:textId="77777777" w:rsidR="00A96DE0" w:rsidRPr="00F25C6F" w:rsidRDefault="00A96DE0">
      <w:pPr>
        <w:widowControl/>
        <w:spacing w:line="251" w:lineRule="auto"/>
        <w:jc w:val="both"/>
        <w:rPr>
          <w:rFonts w:ascii="Arial" w:eastAsia="Yu Gothic UI" w:hAnsi="Arial" w:cs="Arial"/>
          <w:sz w:val="28"/>
          <w:szCs w:val="28"/>
        </w:rPr>
      </w:pPr>
    </w:p>
    <w:p w14:paraId="0B47EEF1" w14:textId="77777777" w:rsidR="00A96DE0" w:rsidRPr="00F25C6F" w:rsidRDefault="00A96DE0">
      <w:pPr>
        <w:widowControl/>
        <w:spacing w:line="251" w:lineRule="auto"/>
        <w:ind w:firstLine="720"/>
        <w:jc w:val="both"/>
        <w:rPr>
          <w:rFonts w:ascii="Arial" w:eastAsia="Yu Gothic UI" w:hAnsi="Arial" w:cs="Arial"/>
          <w:sz w:val="28"/>
          <w:szCs w:val="28"/>
        </w:rPr>
      </w:pPr>
      <w:r w:rsidRPr="00F25C6F">
        <w:rPr>
          <w:rFonts w:ascii="Arial" w:eastAsia="Yu Gothic UI" w:hAnsi="Arial" w:cs="Arial"/>
          <w:sz w:val="28"/>
          <w:szCs w:val="28"/>
        </w:rPr>
        <w:t>[2. / 3.] That the defendant and the person against whom [the/each] offense was committed were members of the same family or household.</w:t>
      </w:r>
    </w:p>
    <w:p w14:paraId="61A64753" w14:textId="77777777" w:rsidR="00A96DE0" w:rsidRPr="00F25C6F" w:rsidRDefault="00A96DE0">
      <w:pPr>
        <w:widowControl/>
        <w:spacing w:line="251" w:lineRule="auto"/>
        <w:jc w:val="both"/>
        <w:rPr>
          <w:rFonts w:ascii="Arial" w:eastAsia="Yu Gothic UI" w:hAnsi="Arial" w:cs="Arial"/>
          <w:sz w:val="28"/>
          <w:szCs w:val="28"/>
        </w:rPr>
      </w:pPr>
    </w:p>
    <w:p w14:paraId="430B28B3" w14:textId="77777777" w:rsidR="00A96DE0" w:rsidRPr="00F25C6F" w:rsidRDefault="00A96DE0">
      <w:pPr>
        <w:widowControl/>
        <w:spacing w:line="251" w:lineRule="auto"/>
        <w:ind w:firstLine="720"/>
        <w:jc w:val="both"/>
        <w:rPr>
          <w:rFonts w:ascii="Arial" w:eastAsia="MingLiU-ExtB" w:hAnsi="Arial" w:cs="Arial"/>
          <w:sz w:val="28"/>
          <w:szCs w:val="28"/>
        </w:rPr>
      </w:pPr>
    </w:p>
    <w:p w14:paraId="1E2523EF" w14:textId="77777777" w:rsidR="00A96DE0" w:rsidRPr="00F25C6F" w:rsidRDefault="00A96DE0">
      <w:pPr>
        <w:widowControl/>
        <w:spacing w:line="251" w:lineRule="auto"/>
        <w:ind w:firstLine="720"/>
        <w:jc w:val="both"/>
        <w:rPr>
          <w:rFonts w:ascii="Arial" w:hAnsi="Arial" w:cs="Arial"/>
          <w:sz w:val="28"/>
          <w:szCs w:val="28"/>
        </w:rPr>
      </w:pPr>
      <w:r w:rsidRPr="00F25C6F">
        <w:rPr>
          <w:rFonts w:ascii="Arial" w:hAnsi="Arial" w:cs="Arial"/>
          <w:sz w:val="28"/>
          <w:szCs w:val="28"/>
        </w:rPr>
        <w:t>If you find the People have proven beyond a reasonable doubt (each / both) of those elements, you must find the defendant guilty of this crime.</w:t>
      </w:r>
    </w:p>
    <w:p w14:paraId="11E0578D" w14:textId="77777777" w:rsidR="00A96DE0" w:rsidRPr="00F25C6F" w:rsidRDefault="00A96DE0">
      <w:pPr>
        <w:widowControl/>
        <w:spacing w:line="251" w:lineRule="auto"/>
        <w:jc w:val="both"/>
        <w:rPr>
          <w:rFonts w:ascii="Arial" w:hAnsi="Arial" w:cs="Arial"/>
          <w:sz w:val="28"/>
          <w:szCs w:val="28"/>
        </w:rPr>
      </w:pPr>
    </w:p>
    <w:p w14:paraId="668B79E3" w14:textId="77777777" w:rsidR="00A96DE0" w:rsidRPr="00F25C6F" w:rsidRDefault="00A96DE0">
      <w:pPr>
        <w:widowControl/>
        <w:spacing w:line="251" w:lineRule="auto"/>
        <w:ind w:firstLine="720"/>
        <w:jc w:val="both"/>
        <w:rPr>
          <w:rFonts w:ascii="Arial" w:hAnsi="Arial" w:cs="Arial"/>
          <w:sz w:val="28"/>
          <w:szCs w:val="28"/>
        </w:rPr>
      </w:pPr>
      <w:r w:rsidRPr="00F25C6F">
        <w:rPr>
          <w:rFonts w:ascii="Arial" w:hAnsi="Arial" w:cs="Arial"/>
          <w:sz w:val="28"/>
          <w:szCs w:val="28"/>
        </w:rPr>
        <w:t>If you find the People have not proven beyond a reasonable doubt (either one / any one) or more of those elements, you must find the defendant not guilty of this crime.</w:t>
      </w:r>
    </w:p>
    <w:p w14:paraId="0FCFE61D" w14:textId="77777777" w:rsidR="00A96DE0" w:rsidRPr="00F25C6F" w:rsidRDefault="00A96DE0">
      <w:pPr>
        <w:widowControl/>
        <w:spacing w:line="251" w:lineRule="auto"/>
        <w:jc w:val="both"/>
        <w:rPr>
          <w:rFonts w:ascii="Arial" w:eastAsia="Yu Gothic UI" w:hAnsi="Arial" w:cs="Arial"/>
          <w:sz w:val="28"/>
          <w:szCs w:val="28"/>
        </w:rPr>
      </w:pPr>
    </w:p>
    <w:sectPr w:rsidR="00A96DE0" w:rsidRPr="00F25C6F" w:rsidSect="00A96DE0">
      <w:type w:val="continuous"/>
      <w:pgSz w:w="12240" w:h="15840"/>
      <w:pgMar w:top="1440" w:right="2160" w:bottom="1080" w:left="216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8537" w14:textId="77777777" w:rsidR="0024262F" w:rsidRDefault="0024262F" w:rsidP="00A96DE0">
      <w:r>
        <w:separator/>
      </w:r>
    </w:p>
  </w:endnote>
  <w:endnote w:type="continuationSeparator" w:id="0">
    <w:p w14:paraId="6DA6A50B" w14:textId="77777777" w:rsidR="0024262F" w:rsidRDefault="0024262F" w:rsidP="00A9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0486" w14:textId="77777777" w:rsidR="00A96DE0" w:rsidRDefault="00A96DE0">
    <w:pPr>
      <w:spacing w:line="240" w:lineRule="exact"/>
    </w:pPr>
  </w:p>
  <w:p w14:paraId="10876F2F" w14:textId="0DDC3C3D" w:rsidR="00A96DE0" w:rsidRDefault="00A96DE0">
    <w:pPr>
      <w:framePr w:w="792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D21C16">
      <w:rPr>
        <w:rFonts w:ascii="Arial" w:hAnsi="Arial" w:cs="Arial"/>
        <w:noProof/>
      </w:rPr>
      <w:t>3</w:t>
    </w:r>
    <w:r>
      <w:rPr>
        <w:rFonts w:ascii="Arial" w:hAnsi="Arial" w:cs="Arial"/>
      </w:rPr>
      <w:fldChar w:fldCharType="end"/>
    </w:r>
  </w:p>
  <w:p w14:paraId="36C12422" w14:textId="77777777" w:rsidR="00A96DE0" w:rsidRDefault="00A96DE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322D" w14:textId="77777777" w:rsidR="0024262F" w:rsidRDefault="0024262F" w:rsidP="00A96DE0">
      <w:r>
        <w:separator/>
      </w:r>
    </w:p>
  </w:footnote>
  <w:footnote w:type="continuationSeparator" w:id="0">
    <w:p w14:paraId="3DE6F646" w14:textId="77777777" w:rsidR="0024262F" w:rsidRDefault="0024262F" w:rsidP="00A96DE0">
      <w:r>
        <w:continuationSeparator/>
      </w:r>
    </w:p>
  </w:footnote>
  <w:footnote w:id="1">
    <w:p w14:paraId="02CD6DA5" w14:textId="77777777" w:rsidR="00A96DE0" w:rsidRPr="00D21C16" w:rsidRDefault="00A96DE0">
      <w:pPr>
        <w:spacing w:after="240" w:line="251" w:lineRule="auto"/>
        <w:ind w:firstLine="720"/>
        <w:jc w:val="both"/>
        <w:rPr>
          <w:rFonts w:ascii="Arial" w:eastAsia="Yu Gothic UI" w:hAnsi="Arial" w:cs="Arial"/>
          <w:sz w:val="22"/>
          <w:szCs w:val="22"/>
        </w:rPr>
      </w:pPr>
      <w:r w:rsidRPr="00D21C16">
        <w:rPr>
          <w:rStyle w:val="FootnoteReference"/>
          <w:rFonts w:ascii="Arial" w:eastAsia="Yu Gothic UI" w:hAnsi="Arial" w:cs="Arial"/>
          <w:sz w:val="22"/>
          <w:szCs w:val="22"/>
          <w:vertAlign w:val="superscript"/>
        </w:rPr>
        <w:footnoteRef/>
      </w:r>
      <w:r w:rsidRPr="00D21C16">
        <w:rPr>
          <w:rFonts w:ascii="Arial" w:eastAsia="Yu Gothic UI" w:hAnsi="Arial" w:cs="Arial"/>
          <w:sz w:val="22"/>
          <w:szCs w:val="22"/>
        </w:rPr>
        <w:t xml:space="preserve"> At this point the statutory definition adds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in subdivision two of this section.</w:t>
      </w:r>
      <w:r w:rsidRPr="00D21C16">
        <w:rPr>
          <w:rFonts w:ascii="Arial" w:eastAsia="Yu Gothic UI" w:hAnsi="Arial" w:cs="Arial"/>
          <w:sz w:val="22"/>
          <w:szCs w:val="22"/>
        </w:rPr>
        <w:sym w:font="WP TypographicSymbols" w:char="0040"/>
      </w:r>
    </w:p>
  </w:footnote>
  <w:footnote w:id="2">
    <w:p w14:paraId="1DF40153" w14:textId="77777777" w:rsidR="00A96DE0" w:rsidRPr="00D21C16" w:rsidRDefault="00A96DE0">
      <w:pPr>
        <w:spacing w:after="240" w:line="251" w:lineRule="auto"/>
        <w:ind w:firstLine="720"/>
        <w:jc w:val="both"/>
        <w:rPr>
          <w:rFonts w:ascii="Arial" w:eastAsia="Yu Gothic UI" w:hAnsi="Arial" w:cs="Arial"/>
          <w:sz w:val="22"/>
          <w:szCs w:val="22"/>
        </w:rPr>
      </w:pPr>
      <w:r w:rsidRPr="00D21C16">
        <w:rPr>
          <w:rStyle w:val="FootnoteReference"/>
          <w:rFonts w:ascii="Arial" w:eastAsia="Yu Gothic UI" w:hAnsi="Arial" w:cs="Arial"/>
          <w:sz w:val="22"/>
          <w:szCs w:val="22"/>
          <w:vertAlign w:val="superscript"/>
        </w:rPr>
        <w:footnoteRef/>
      </w:r>
      <w:r w:rsidRPr="00D21C16">
        <w:rPr>
          <w:rFonts w:ascii="Arial" w:eastAsia="Yu Gothic UI" w:hAnsi="Arial" w:cs="Arial"/>
          <w:sz w:val="22"/>
          <w:szCs w:val="22"/>
        </w:rPr>
        <w:t xml:space="preserve"> CPL </w:t>
      </w:r>
      <w:r w:rsidRPr="00D21C16">
        <w:rPr>
          <w:rFonts w:ascii="Arial" w:eastAsia="Yu Gothic UI" w:hAnsi="Arial" w:cs="Arial"/>
          <w:sz w:val="22"/>
          <w:szCs w:val="22"/>
        </w:rPr>
        <w:sym w:font="WP TypographicSymbols" w:char="0027"/>
      </w:r>
      <w:r w:rsidRPr="00D21C16">
        <w:rPr>
          <w:rFonts w:ascii="Arial" w:eastAsia="Yu Gothic UI" w:hAnsi="Arial" w:cs="Arial"/>
          <w:sz w:val="22"/>
          <w:szCs w:val="22"/>
        </w:rPr>
        <w:t xml:space="preserve"> 200.63 requires that an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 xml:space="preserve">indictment or information for such offense shall be accompanied by a special information, filed by the district attorney with the court, alleging (1) that the defendant was previously convicted of a specified offense as defined [Penal Law </w:t>
      </w:r>
      <w:r w:rsidRPr="00D21C16">
        <w:rPr>
          <w:rFonts w:ascii="Arial" w:eastAsia="Yu Gothic UI" w:hAnsi="Arial" w:cs="Arial"/>
          <w:sz w:val="22"/>
          <w:szCs w:val="22"/>
        </w:rPr>
        <w:sym w:font="WP TypographicSymbols" w:char="0027"/>
      </w:r>
      <w:r w:rsidRPr="00D21C16">
        <w:rPr>
          <w:rFonts w:ascii="Arial" w:eastAsia="Yu Gothic UI" w:hAnsi="Arial" w:cs="Arial"/>
          <w:sz w:val="22"/>
          <w:szCs w:val="22"/>
        </w:rPr>
        <w:t xml:space="preserve"> 240.75], (2) that at the time of the previous offense the defendant and the person against whom the offense was committed were members of the same family or household as defined in CPL </w:t>
      </w:r>
      <w:r w:rsidRPr="00D21C16">
        <w:rPr>
          <w:rFonts w:ascii="Arial" w:eastAsia="Yu Gothic UI" w:hAnsi="Arial" w:cs="Arial"/>
          <w:sz w:val="22"/>
          <w:szCs w:val="22"/>
        </w:rPr>
        <w:sym w:font="WP TypographicSymbols" w:char="0027"/>
      </w:r>
      <w:r w:rsidRPr="00D21C16">
        <w:rPr>
          <w:rFonts w:ascii="Arial" w:eastAsia="Yu Gothic UI" w:hAnsi="Arial" w:cs="Arial"/>
          <w:sz w:val="22"/>
          <w:szCs w:val="22"/>
        </w:rPr>
        <w:t xml:space="preserve"> 530.11(1) unless the defendant was previously convicted of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aggravated family offense</w:t>
      </w:r>
      <w:r w:rsidRPr="00D21C16">
        <w:rPr>
          <w:rFonts w:ascii="Arial" w:eastAsia="Yu Gothic UI" w:hAnsi="Arial" w:cs="Arial"/>
          <w:sz w:val="22"/>
          <w:szCs w:val="22"/>
        </w:rPr>
        <w:sym w:font="WP TypographicSymbols" w:char="0040"/>
      </w:r>
      <w:r w:rsidRPr="00D21C16">
        <w:rPr>
          <w:rFonts w:ascii="Arial" w:eastAsia="Yu Gothic UI" w:hAnsi="Arial" w:cs="Arial"/>
          <w:sz w:val="22"/>
          <w:szCs w:val="22"/>
        </w:rPr>
        <w:t xml:space="preserve"> because proof of that element was required for that conviction, and (3) that such previous conviction took place within the time period specified [Penal Law </w:t>
      </w:r>
      <w:r w:rsidRPr="00D21C16">
        <w:rPr>
          <w:rFonts w:ascii="Arial" w:eastAsia="Yu Gothic UI" w:hAnsi="Arial" w:cs="Arial"/>
          <w:sz w:val="22"/>
          <w:szCs w:val="22"/>
        </w:rPr>
        <w:sym w:font="WP TypographicSymbols" w:char="0027"/>
      </w:r>
      <w:r w:rsidRPr="00D21C16">
        <w:rPr>
          <w:rFonts w:ascii="Arial" w:eastAsia="Yu Gothic UI" w:hAnsi="Arial" w:cs="Arial"/>
          <w:sz w:val="22"/>
          <w:szCs w:val="22"/>
        </w:rPr>
        <w:t xml:space="preserve"> 240.75(1)].</w:t>
      </w:r>
      <w:r w:rsidRPr="00D21C16">
        <w:rPr>
          <w:rFonts w:ascii="Arial" w:eastAsia="Yu Gothic UI" w:hAnsi="Arial" w:cs="Arial"/>
          <w:sz w:val="22"/>
          <w:szCs w:val="22"/>
        </w:rPr>
        <w:sym w:font="WP TypographicSymbols" w:char="0040"/>
      </w:r>
      <w:r w:rsidRPr="00D21C16">
        <w:rPr>
          <w:rFonts w:ascii="Arial" w:eastAsia="Yu Gothic UI" w:hAnsi="Arial" w:cs="Arial"/>
          <w:sz w:val="22"/>
          <w:szCs w:val="22"/>
        </w:rPr>
        <w:t xml:space="preserve">  If the defendant admits the allegations in the special information, they are deemed established and the court is required to submit the case to the jury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as if such admitted allegation or allegations were not elements of the offense.</w:t>
      </w:r>
      <w:r w:rsidRPr="00D21C16">
        <w:rPr>
          <w:rFonts w:ascii="Arial" w:eastAsia="Yu Gothic UI" w:hAnsi="Arial" w:cs="Arial"/>
          <w:sz w:val="22"/>
          <w:szCs w:val="22"/>
        </w:rPr>
        <w:sym w:font="WP TypographicSymbols" w:char="0040"/>
      </w:r>
      <w:r w:rsidRPr="00D21C16">
        <w:rPr>
          <w:rFonts w:ascii="Arial" w:eastAsia="Yu Gothic UI" w:hAnsi="Arial" w:cs="Arial"/>
          <w:sz w:val="22"/>
          <w:szCs w:val="22"/>
        </w:rPr>
        <w:t xml:space="preserve">  If the defendant denies an allegation or allegations in the special information, the People may prove same at the trial.</w:t>
      </w:r>
    </w:p>
  </w:footnote>
  <w:footnote w:id="3">
    <w:p w14:paraId="1D20D36B" w14:textId="0A8378C3" w:rsidR="00F862DB" w:rsidRPr="00A04A64" w:rsidRDefault="00A96DE0" w:rsidP="00F862DB">
      <w:pPr>
        <w:spacing w:before="249" w:line="288" w:lineRule="exact"/>
        <w:ind w:firstLine="720"/>
        <w:jc w:val="both"/>
        <w:textAlignment w:val="baseline"/>
        <w:rPr>
          <w:rFonts w:ascii="Arial" w:eastAsia="Arial" w:hAnsi="Arial"/>
          <w:sz w:val="22"/>
          <w:szCs w:val="22"/>
          <w:vertAlign w:val="superscript"/>
        </w:rPr>
      </w:pPr>
      <w:r w:rsidRPr="00D21C16">
        <w:rPr>
          <w:rStyle w:val="FootnoteReference"/>
          <w:rFonts w:ascii="Arial" w:eastAsia="Yu Gothic UI" w:hAnsi="Arial" w:cs="Arial"/>
          <w:sz w:val="22"/>
          <w:szCs w:val="22"/>
          <w:vertAlign w:val="superscript"/>
        </w:rPr>
        <w:footnoteRef/>
      </w:r>
      <w:r w:rsidRPr="00D21C16">
        <w:rPr>
          <w:rFonts w:ascii="Arial" w:eastAsia="Yu Gothic UI" w:hAnsi="Arial" w:cs="Arial"/>
          <w:sz w:val="22"/>
          <w:szCs w:val="22"/>
        </w:rPr>
        <w:t xml:space="preserve"> At this point the statutory definition adds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as defined in subdivision one of section 530.11 of the criminal procedure law.</w:t>
      </w:r>
      <w:r w:rsidRPr="00D21C16">
        <w:rPr>
          <w:rFonts w:ascii="Arial" w:eastAsia="Yu Gothic UI" w:hAnsi="Arial" w:cs="Arial"/>
          <w:sz w:val="22"/>
          <w:szCs w:val="22"/>
        </w:rPr>
        <w:sym w:font="WP TypographicSymbols" w:char="0040"/>
      </w:r>
      <w:r w:rsidR="00F862DB">
        <w:rPr>
          <w:rFonts w:ascii="Arial" w:eastAsia="Yu Gothic UI" w:hAnsi="Arial" w:cs="Arial"/>
          <w:sz w:val="22"/>
          <w:szCs w:val="22"/>
        </w:rPr>
        <w:t xml:space="preserve">  </w:t>
      </w:r>
      <w:r w:rsidR="00F862DB" w:rsidRPr="00A04A64">
        <w:rPr>
          <w:rFonts w:ascii="Arial" w:eastAsia="Arial" w:hAnsi="Arial"/>
          <w:sz w:val="22"/>
          <w:szCs w:val="22"/>
        </w:rPr>
        <w:t xml:space="preserve">Per </w:t>
      </w:r>
      <w:r w:rsidR="00F862DB" w:rsidRPr="00A04A64">
        <w:rPr>
          <w:rFonts w:ascii="Arial" w:eastAsia="Arial" w:hAnsi="Arial"/>
          <w:i/>
          <w:iCs/>
          <w:spacing w:val="-3"/>
          <w:sz w:val="22"/>
          <w:szCs w:val="22"/>
        </w:rPr>
        <w:t>People v Saenger</w:t>
      </w:r>
      <w:r w:rsidR="00F862DB" w:rsidRPr="00A04A64">
        <w:rPr>
          <w:rFonts w:ascii="Arial" w:eastAsia="Arial" w:hAnsi="Arial"/>
          <w:spacing w:val="-3"/>
          <w:sz w:val="22"/>
          <w:szCs w:val="22"/>
        </w:rPr>
        <w:t>, 39 N.Y.3d 433 (2023), the indictment must specify the misdemeanor; otherwise, the indictment is jurisdictionally defective.</w:t>
      </w:r>
    </w:p>
    <w:p w14:paraId="34E39157" w14:textId="0F5B81D9" w:rsidR="00A96DE0" w:rsidRPr="00D21C16" w:rsidRDefault="00A96DE0">
      <w:pPr>
        <w:spacing w:after="240" w:line="251" w:lineRule="auto"/>
        <w:ind w:firstLine="720"/>
        <w:jc w:val="both"/>
        <w:rPr>
          <w:rFonts w:ascii="Arial" w:eastAsia="Yu Gothic UI" w:hAnsi="Arial" w:cs="Arial"/>
          <w:sz w:val="22"/>
          <w:szCs w:val="22"/>
        </w:rPr>
      </w:pPr>
    </w:p>
  </w:footnote>
  <w:footnote w:id="4">
    <w:p w14:paraId="194B8C53" w14:textId="77777777" w:rsidR="00A96DE0" w:rsidRPr="00D21C16" w:rsidRDefault="00A96DE0">
      <w:pPr>
        <w:spacing w:after="240" w:line="251" w:lineRule="auto"/>
        <w:ind w:firstLine="720"/>
        <w:jc w:val="both"/>
        <w:rPr>
          <w:rFonts w:ascii="Arial" w:eastAsia="Yu Gothic UI" w:hAnsi="Arial" w:cs="Arial"/>
          <w:sz w:val="22"/>
          <w:szCs w:val="22"/>
        </w:rPr>
      </w:pPr>
      <w:r w:rsidRPr="00D21C16">
        <w:rPr>
          <w:rStyle w:val="FootnoteReference"/>
          <w:rFonts w:ascii="Arial" w:eastAsia="Yu Gothic UI" w:hAnsi="Arial" w:cs="Arial"/>
          <w:sz w:val="22"/>
          <w:szCs w:val="22"/>
          <w:vertAlign w:val="superscript"/>
        </w:rPr>
        <w:footnoteRef/>
      </w:r>
      <w:r w:rsidRPr="00D21C16">
        <w:rPr>
          <w:rFonts w:ascii="Arial" w:eastAsia="Yu Gothic UI" w:hAnsi="Arial" w:cs="Arial"/>
          <w:sz w:val="22"/>
          <w:szCs w:val="22"/>
        </w:rPr>
        <w:t xml:space="preserve"> There is no statutory definition of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consanguinity</w:t>
      </w:r>
      <w:r w:rsidRPr="00D21C16">
        <w:rPr>
          <w:rFonts w:ascii="Arial" w:eastAsia="Yu Gothic UI" w:hAnsi="Arial" w:cs="Arial"/>
          <w:sz w:val="22"/>
          <w:szCs w:val="22"/>
        </w:rPr>
        <w:sym w:font="WP TypographicSymbols" w:char="0040"/>
      </w:r>
      <w:r w:rsidRPr="00D21C16">
        <w:rPr>
          <w:rFonts w:ascii="Arial" w:eastAsia="Yu Gothic UI" w:hAnsi="Arial" w:cs="Arial"/>
          <w:sz w:val="22"/>
          <w:szCs w:val="22"/>
        </w:rPr>
        <w:t xml:space="preserve"> or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affinity.</w:t>
      </w:r>
      <w:r w:rsidRPr="00D21C16">
        <w:rPr>
          <w:rFonts w:ascii="Arial" w:eastAsia="Yu Gothic UI" w:hAnsi="Arial" w:cs="Arial"/>
          <w:sz w:val="22"/>
          <w:szCs w:val="22"/>
        </w:rPr>
        <w:sym w:font="WP TypographicSymbols" w:char="0040"/>
      </w:r>
      <w:r w:rsidRPr="00D21C16">
        <w:rPr>
          <w:rFonts w:ascii="Arial" w:eastAsia="Yu Gothic UI" w:hAnsi="Arial" w:cs="Arial"/>
          <w:sz w:val="22"/>
          <w:szCs w:val="22"/>
        </w:rPr>
        <w:t xml:space="preserve"> A dictionary definition of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consanguinity</w:t>
      </w:r>
      <w:r w:rsidRPr="00D21C16">
        <w:rPr>
          <w:rFonts w:ascii="Arial" w:eastAsia="Yu Gothic UI" w:hAnsi="Arial" w:cs="Arial"/>
          <w:sz w:val="22"/>
          <w:szCs w:val="22"/>
        </w:rPr>
        <w:sym w:font="WP TypographicSymbols" w:char="0040"/>
      </w:r>
      <w:r w:rsidRPr="00D21C16">
        <w:rPr>
          <w:rFonts w:ascii="Arial" w:eastAsia="Yu Gothic UI" w:hAnsi="Arial" w:cs="Arial"/>
          <w:sz w:val="22"/>
          <w:szCs w:val="22"/>
        </w:rPr>
        <w:t xml:space="preserve"> is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relationship by descent from a common ancestor.</w:t>
      </w:r>
      <w:r w:rsidRPr="00D21C16">
        <w:rPr>
          <w:rFonts w:ascii="Arial" w:eastAsia="Yu Gothic UI" w:hAnsi="Arial" w:cs="Arial"/>
          <w:sz w:val="22"/>
          <w:szCs w:val="22"/>
        </w:rPr>
        <w:sym w:font="WP TypographicSymbols" w:char="0040"/>
      </w:r>
      <w:r w:rsidRPr="00D21C16">
        <w:rPr>
          <w:rFonts w:ascii="Arial" w:eastAsia="Yu Gothic UI" w:hAnsi="Arial" w:cs="Arial"/>
          <w:sz w:val="22"/>
          <w:szCs w:val="22"/>
        </w:rPr>
        <w:t xml:space="preserve"> Random House Webster</w:t>
      </w:r>
      <w:r w:rsidRPr="00D21C16">
        <w:rPr>
          <w:rFonts w:ascii="Arial" w:eastAsia="Yu Gothic UI" w:hAnsi="Arial" w:cs="Arial"/>
          <w:sz w:val="22"/>
          <w:szCs w:val="22"/>
        </w:rPr>
        <w:sym w:font="WP TypographicSymbols" w:char="003D"/>
      </w:r>
      <w:r w:rsidRPr="00D21C16">
        <w:rPr>
          <w:rFonts w:ascii="Arial" w:eastAsia="Yu Gothic UI" w:hAnsi="Arial" w:cs="Arial"/>
          <w:sz w:val="22"/>
          <w:szCs w:val="22"/>
        </w:rPr>
        <w:t>s Unabridged Dictionary (1999).  That dictionary</w:t>
      </w:r>
      <w:r w:rsidRPr="00D21C16">
        <w:rPr>
          <w:rFonts w:ascii="Arial" w:eastAsia="Yu Gothic UI" w:hAnsi="Arial" w:cs="Arial"/>
          <w:sz w:val="22"/>
          <w:szCs w:val="22"/>
        </w:rPr>
        <w:sym w:font="WP TypographicSymbols" w:char="003D"/>
      </w:r>
      <w:r w:rsidRPr="00D21C16">
        <w:rPr>
          <w:rFonts w:ascii="Arial" w:eastAsia="Yu Gothic UI" w:hAnsi="Arial" w:cs="Arial"/>
          <w:sz w:val="22"/>
          <w:szCs w:val="22"/>
        </w:rPr>
        <w:t xml:space="preserve">s definition of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affinity</w:t>
      </w:r>
      <w:r w:rsidRPr="00D21C16">
        <w:rPr>
          <w:rFonts w:ascii="Arial" w:eastAsia="Yu Gothic UI" w:hAnsi="Arial" w:cs="Arial"/>
          <w:sz w:val="22"/>
          <w:szCs w:val="22"/>
        </w:rPr>
        <w:sym w:font="WP TypographicSymbols" w:char="0040"/>
      </w:r>
      <w:r w:rsidRPr="00D21C16">
        <w:rPr>
          <w:rFonts w:ascii="Arial" w:eastAsia="Yu Gothic UI" w:hAnsi="Arial" w:cs="Arial"/>
          <w:sz w:val="22"/>
          <w:szCs w:val="22"/>
        </w:rPr>
        <w:t xml:space="preserve"> is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relationship by marriage or by ties other than those of blood (distinguished from consanguinity).</w:t>
      </w:r>
      <w:r w:rsidRPr="00D21C16">
        <w:rPr>
          <w:rFonts w:ascii="Arial" w:eastAsia="Yu Gothic UI" w:hAnsi="Arial" w:cs="Arial"/>
          <w:sz w:val="22"/>
          <w:szCs w:val="22"/>
        </w:rPr>
        <w:sym w:font="WP TypographicSymbols" w:char="0040"/>
      </w:r>
    </w:p>
  </w:footnote>
  <w:footnote w:id="5">
    <w:p w14:paraId="02531E34" w14:textId="77777777" w:rsidR="00A96DE0" w:rsidRPr="00D21C16" w:rsidRDefault="00A96DE0">
      <w:pPr>
        <w:spacing w:after="240" w:line="251" w:lineRule="auto"/>
        <w:ind w:firstLine="720"/>
        <w:jc w:val="both"/>
        <w:rPr>
          <w:rFonts w:ascii="Arial" w:eastAsia="Yu Gothic UI" w:hAnsi="Arial" w:cs="Arial"/>
          <w:sz w:val="22"/>
          <w:szCs w:val="22"/>
        </w:rPr>
      </w:pPr>
      <w:r w:rsidRPr="00D21C16">
        <w:rPr>
          <w:rStyle w:val="FootnoteReference"/>
          <w:rFonts w:ascii="Arial" w:eastAsia="Yu Gothic UI" w:hAnsi="Arial" w:cs="Arial"/>
          <w:sz w:val="22"/>
          <w:szCs w:val="22"/>
          <w:vertAlign w:val="superscript"/>
        </w:rPr>
        <w:footnoteRef/>
      </w:r>
      <w:r w:rsidRPr="00D21C16">
        <w:rPr>
          <w:rFonts w:ascii="Arial" w:eastAsia="Yu Gothic UI" w:hAnsi="Arial" w:cs="Arial"/>
          <w:sz w:val="22"/>
          <w:szCs w:val="22"/>
        </w:rPr>
        <w:t xml:space="preserve"> CPL </w:t>
      </w:r>
      <w:r w:rsidRPr="00D21C16">
        <w:rPr>
          <w:rFonts w:ascii="Arial" w:eastAsia="Yu Gothic UI" w:hAnsi="Arial" w:cs="Arial"/>
          <w:sz w:val="22"/>
          <w:szCs w:val="22"/>
        </w:rPr>
        <w:sym w:font="WP TypographicSymbols" w:char="0027"/>
      </w:r>
      <w:r w:rsidRPr="00D21C16">
        <w:rPr>
          <w:rFonts w:ascii="Arial" w:eastAsia="Yu Gothic UI" w:hAnsi="Arial" w:cs="Arial"/>
          <w:sz w:val="22"/>
          <w:szCs w:val="22"/>
        </w:rPr>
        <w:t xml:space="preserve"> 530.11.  </w:t>
      </w:r>
      <w:r w:rsidRPr="00D21C16">
        <w:rPr>
          <w:rFonts w:ascii="Arial" w:eastAsia="Yu Gothic UI" w:hAnsi="Arial" w:cs="Arial"/>
          <w:i/>
          <w:iCs/>
          <w:sz w:val="22"/>
          <w:szCs w:val="22"/>
        </w:rPr>
        <w:t>See</w:t>
      </w:r>
      <w:r w:rsidRPr="00D21C16">
        <w:rPr>
          <w:rFonts w:ascii="Arial" w:eastAsia="Yu Gothic UI" w:hAnsi="Arial" w:cs="Arial"/>
          <w:sz w:val="22"/>
          <w:szCs w:val="22"/>
        </w:rPr>
        <w:t xml:space="preserve"> the same definition in Family Court Act </w:t>
      </w:r>
      <w:r w:rsidRPr="00D21C16">
        <w:rPr>
          <w:rFonts w:ascii="Arial" w:eastAsia="Yu Gothic UI" w:hAnsi="Arial" w:cs="Arial"/>
          <w:sz w:val="22"/>
          <w:szCs w:val="22"/>
        </w:rPr>
        <w:sym w:font="WP TypographicSymbols" w:char="0027"/>
      </w:r>
      <w:r w:rsidRPr="00D21C16">
        <w:rPr>
          <w:rFonts w:ascii="Arial" w:eastAsia="Yu Gothic UI" w:hAnsi="Arial" w:cs="Arial"/>
          <w:sz w:val="22"/>
          <w:szCs w:val="22"/>
        </w:rPr>
        <w:t xml:space="preserve"> 812(1) and cases interpreting that definition, particularly the meaning of </w:t>
      </w:r>
      <w:r w:rsidRPr="00D21C16">
        <w:rPr>
          <w:rFonts w:ascii="Arial" w:eastAsia="Yu Gothic UI" w:hAnsi="Arial" w:cs="Arial"/>
          <w:sz w:val="22"/>
          <w:szCs w:val="22"/>
        </w:rPr>
        <w:sym w:font="WP TypographicSymbols" w:char="0041"/>
      </w:r>
      <w:r w:rsidRPr="00D21C16">
        <w:rPr>
          <w:rFonts w:ascii="Arial" w:eastAsia="Yu Gothic UI" w:hAnsi="Arial" w:cs="Arial"/>
          <w:sz w:val="22"/>
          <w:szCs w:val="22"/>
        </w:rPr>
        <w:t>intimate relationship.</w:t>
      </w:r>
      <w:r w:rsidRPr="00D21C16">
        <w:rPr>
          <w:rFonts w:ascii="Arial" w:eastAsia="Yu Gothic UI" w:hAnsi="Arial" w:cs="Arial"/>
          <w:i/>
          <w:iCs/>
          <w:sz w:val="22"/>
          <w:szCs w:val="22"/>
        </w:rPr>
        <w:sym w:font="WP TypographicSymbols" w:char="0040"/>
      </w:r>
      <w:r w:rsidRPr="00D21C16">
        <w:rPr>
          <w:rFonts w:ascii="Arial" w:eastAsia="Yu Gothic UI" w:hAnsi="Arial" w:cs="Arial"/>
          <w:i/>
          <w:iCs/>
          <w:sz w:val="22"/>
          <w:szCs w:val="22"/>
        </w:rPr>
        <w:t xml:space="preserve"> </w:t>
      </w:r>
      <w:r w:rsidRPr="00D21C16">
        <w:rPr>
          <w:rFonts w:ascii="Arial" w:eastAsia="Yu Gothic UI" w:hAnsi="Arial" w:cs="Arial"/>
          <w:sz w:val="22"/>
          <w:szCs w:val="22"/>
        </w:rPr>
        <w:t xml:space="preserve">  </w:t>
      </w:r>
      <w:r w:rsidRPr="00D21C16">
        <w:rPr>
          <w:rFonts w:ascii="Arial" w:eastAsia="Yu Gothic UI" w:hAnsi="Arial" w:cs="Arial"/>
          <w:i/>
          <w:iCs/>
          <w:sz w:val="22"/>
          <w:szCs w:val="22"/>
        </w:rPr>
        <w:t>See e.g, Jose M. v Angel V.</w:t>
      </w:r>
      <w:r w:rsidRPr="00D21C16">
        <w:rPr>
          <w:rFonts w:ascii="Arial" w:eastAsia="Yu Gothic UI" w:hAnsi="Arial" w:cs="Arial"/>
          <w:sz w:val="22"/>
          <w:szCs w:val="22"/>
        </w:rPr>
        <w:t>, 99 AD3d 243 (2d Dept 2012) and the cases cited therein).</w:t>
      </w:r>
    </w:p>
  </w:footnote>
  <w:footnote w:id="6">
    <w:p w14:paraId="49BA6065" w14:textId="781880F4" w:rsidR="00A96DE0" w:rsidRDefault="00A96DE0">
      <w:pPr>
        <w:spacing w:after="240" w:line="251" w:lineRule="auto"/>
        <w:ind w:firstLine="720"/>
        <w:jc w:val="both"/>
        <w:rPr>
          <w:rFonts w:ascii="Yu Gothic UI" w:eastAsia="Yu Gothic UI" w:cs="Yu Gothic UI"/>
        </w:rPr>
      </w:pPr>
      <w:r w:rsidRPr="00D21C16">
        <w:rPr>
          <w:rStyle w:val="FootnoteReference"/>
          <w:rFonts w:ascii="Arial" w:eastAsia="Yu Gothic UI" w:hAnsi="Arial" w:cs="Arial"/>
          <w:sz w:val="22"/>
          <w:szCs w:val="22"/>
          <w:vertAlign w:val="superscript"/>
        </w:rPr>
        <w:footnoteRef/>
      </w:r>
      <w:r w:rsidRPr="00D21C16">
        <w:rPr>
          <w:rFonts w:ascii="Arial" w:eastAsia="Yu Gothic UI" w:hAnsi="Arial" w:cs="Arial"/>
          <w:sz w:val="22"/>
          <w:szCs w:val="22"/>
        </w:rPr>
        <w:t xml:space="preserve"> As detailed in footnote two, the defendant may admit the prior conviction and that it was committed within the requisite time period.  Alternatively, the defendant may admit the prior conviction but deny it was committed within the requisite time period. In the latter case, the People may prove the requisite time period.  That, however, can only be done in the context of </w:t>
      </w:r>
      <w:r w:rsidR="007B3EBE" w:rsidRPr="00D21C16">
        <w:rPr>
          <w:rFonts w:ascii="Arial" w:eastAsia="Yu Gothic UI" w:hAnsi="Arial" w:cs="Arial"/>
          <w:sz w:val="22"/>
          <w:szCs w:val="22"/>
        </w:rPr>
        <w:t>the</w:t>
      </w:r>
      <w:r w:rsidR="00505B94">
        <w:rPr>
          <w:rFonts w:ascii="Arial" w:eastAsia="Yu Gothic UI" w:hAnsi="Arial" w:cs="Arial"/>
          <w:sz w:val="22"/>
          <w:szCs w:val="22"/>
        </w:rPr>
        <w:t xml:space="preserve"> defendant</w:t>
      </w:r>
      <w:r w:rsidRPr="00D21C16">
        <w:rPr>
          <w:rFonts w:ascii="Arial" w:eastAsia="Yu Gothic UI" w:hAnsi="Arial" w:cs="Arial"/>
          <w:sz w:val="22"/>
          <w:szCs w:val="22"/>
        </w:rPr>
        <w:t xml:space="preserve"> having a prior conviction.</w:t>
      </w:r>
      <w:r>
        <w:rPr>
          <w:rFonts w:ascii="Yu Gothic UI" w:eastAsia="Yu Gothic UI" w:cs="Yu Gothic U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DE0"/>
    <w:rsid w:val="0024262F"/>
    <w:rsid w:val="002C1E66"/>
    <w:rsid w:val="00325F6C"/>
    <w:rsid w:val="004D62A1"/>
    <w:rsid w:val="00505B94"/>
    <w:rsid w:val="007B3EBE"/>
    <w:rsid w:val="00885F87"/>
    <w:rsid w:val="00A04A64"/>
    <w:rsid w:val="00A96DE0"/>
    <w:rsid w:val="00AF53FB"/>
    <w:rsid w:val="00D21C16"/>
    <w:rsid w:val="00F25C6F"/>
    <w:rsid w:val="00F8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A7EFC"/>
  <w14:defaultImageDpi w14:val="0"/>
  <w15:docId w15:val="{5CA66AAD-CC94-426D-88F4-36DBD762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10</cp:revision>
  <dcterms:created xsi:type="dcterms:W3CDTF">2023-08-19T21:50:00Z</dcterms:created>
  <dcterms:modified xsi:type="dcterms:W3CDTF">2023-12-05T18:35:00Z</dcterms:modified>
</cp:coreProperties>
</file>