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INCITING TO RIOT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240.08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1967)</w:t>
      </w:r>
    </w:p>
    <w:p>
      <w:pPr>
        <w:pageBreakBefore w:val="false"/>
        <w:spacing w:before="328" w:after="0" w:line="324" w:lineRule="exact"/>
        <w:ind w:right="0" w:left="720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Inciting to Riot.</w:t>
      </w:r>
    </w:p>
    <w:p>
      <w:pPr>
        <w:pageBreakBefore w:val="false"/>
        <w:spacing w:before="318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Inciting to Riot when he or she urges ten or more persons to engage in tumultuous and violent conduct of a kind likely to create public alarm.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the following element:</w:t>
      </w:r>
    </w:p>
    <w:p>
      <w:pPr>
        <w:pageBreakBefore w:val="false"/>
        <w:spacing w:before="326" w:after="0" w:line="323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(county)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defendant,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(defendant’s name)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urged ten or more persons to engage in tumultuous and violent conduct of a kind likely to create public alarm.</w:t>
      </w:r>
    </w:p>
    <w:p>
      <w:pPr>
        <w:pageBreakBefore w:val="false"/>
        <w:spacing w:before="332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5"/>
          <w:w w:val="100"/>
          <w:sz w:val="28"/>
          <w:vertAlign w:val="baseline"/>
          <w:lang w:val="en-US"/>
        </w:rPr>
        <w:t xml:space="preserve">If you find the People have proven that element beyond a reasonable doubt, you must find the defendant guilty of this crime.</w:t>
      </w:r>
    </w:p>
    <w:p>
      <w:pPr>
        <w:pageBreakBefore w:val="false"/>
        <w:spacing w:before="324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that element beyond a reasonable doubt, you must find the defendant not guilty of this crime.</w:t>
      </w:r>
    </w:p>
    <w:sectPr>
      <w:type w:val="nextPage"/>
      <w:pgSz w:w="12240" w:h="15840" w:orient="portrait"/>
      <w:pgMar w:bottom="5864" w:top="1440" w:right="2160" w:left="2160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