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RIOT IN THE FIRST DEGREE</w:t>
        <w:br/>
      </w:r>
      <w:r>
        <w:rPr>
          <w:rFonts w:ascii="Arial" w:hAnsi="Arial" w:eastAsia="Arial"/>
          <w:b w:val="true"/>
          <w:strike w:val="false"/>
          <w:color w:val="000000"/>
          <w:spacing w:val="0"/>
          <w:w w:val="100"/>
          <w:sz w:val="28"/>
          <w:vertAlign w:val="baseline"/>
          <w:lang w:val="en-US"/>
        </w:rPr>
        <w:t xml:space="preserve">Penal Law § 240.06</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8"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Riot in the First Degree.</w:t>
      </w:r>
    </w:p>
    <w:p>
      <w:pPr>
        <w:pageBreakBefore w:val="false"/>
        <w:spacing w:before="320"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Riot in the First Degree when, simultaneously with ten or more other persons, he or she engages in tumultuous and violent conduct and thereby intentionally or recklessly causes or creates a grave risk of causing public alarm, and in the course of and as a result of such conduct, a person other than one of the participants suffers physical injury, or substantial property damage occurs.</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causes or creates a grave risk of causing public alarm when his or her conscious objective or purpose is to do so.</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8"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RECKLESSLY causes or creates a grave risk of causing public alarm when that person</w:t>
      </w:r>
    </w:p>
    <w:p>
      <w:pPr>
        <w:pageBreakBefore w:val="false"/>
        <w:spacing w:before="32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engages in conduct which causes or creates a grave and unjustifiable risk of causing public alarm,</w:t>
      </w:r>
    </w:p>
    <w:p>
      <w:pPr>
        <w:pageBreakBefore w:val="false"/>
        <w:spacing w:before="321"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spacing w:before="318" w:after="1352"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w:t>
      </w:r>
    </w:p>
    <w:p>
      <w:pPr>
        <w:pageBreakBefore w:val="false"/>
        <w:spacing w:before="259" w:after="0" w:line="300" w:lineRule="exact"/>
        <w:ind w:right="0" w:left="720" w:firstLine="0"/>
        <w:jc w:val="left"/>
        <w:textAlignment w:val="baseline"/>
        <w:rPr>
          <w:rFonts w:ascii="Arial" w:hAnsi="Arial" w:eastAsia="Arial"/>
          <w:strike w:val="false"/>
          <w:color w:val="000000"/>
          <w:spacing w:val="-1"/>
          <w:w w:val="100"/>
          <w:sz w:val="16"/>
          <w:vertAlign w:val="superscript"/>
          <w:lang w:val="en-US"/>
        </w:rPr>
      </w:pPr>
      <w:r>
        <w:pict>
          <v:line strokeweight="1.2pt" strokecolor="#000000" from="108pt,693.1pt" to="252.05pt,693.1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1</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§15.05(1)</w:t>
      </w:r>
    </w:p>
    <w:p>
      <w:pPr>
        <w:sectPr>
          <w:type w:val="nextPage"/>
          <w:pgSz w:w="12240" w:h="15840" w:orient="portrait"/>
          <w:pgMar w:bottom="984" w:top="1440" w:right="2140" w:left="2160" w:header="720" w:footer="720"/>
          <w:titlePg w:val="false"/>
          <w:textDirection w:val="lrTb"/>
        </w:sectPr>
      </w:pPr>
    </w:p>
    <w:p>
      <w:pPr>
        <w:pageBreakBefore w:val="false"/>
        <w:spacing w:before="43" w:after="0" w:line="318"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observe in that situation.</w:t>
      </w:r>
      <w:r>
        <w:rPr>
          <w:rFonts w:ascii="Arial" w:hAnsi="Arial" w:eastAsia="Arial"/>
          <w:strike w:val="false"/>
          <w:color w:val="000000"/>
          <w:spacing w:val="-1"/>
          <w:w w:val="100"/>
          <w:sz w:val="28"/>
          <w:vertAlign w:val="superscript"/>
          <w:lang w:val="en-US"/>
        </w:rPr>
        <w:t xml:space="preserve">2</w:t>
      </w:r>
      <w:r>
        <w:rPr>
          <w:rFonts w:ascii="Arial" w:hAnsi="Arial" w:eastAsia="Arial"/>
          <w:strike w:val="false"/>
          <w:color w:val="000000"/>
          <w:spacing w:val="-1"/>
          <w:w w:val="100"/>
          <w:sz w:val="17"/>
          <w:vertAlign w:val="baseline"/>
          <w:lang w:val="en-US"/>
        </w:rPr>
        <w:t xml:space="preserve">
</w:t>
      </w:r>
    </w:p>
    <w:p>
      <w:pPr>
        <w:pageBreakBefore w:val="false"/>
        <w:spacing w:before="337" w:after="0" w:line="322"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32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 w:val="right" w:leader="none" w:pos="7920"/>
        </w:tabs>
        <w:spacing w:before="318"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i w:val="true"/>
          <w:strike w:val="false"/>
          <w:color w:val="000000"/>
          <w:spacing w:val="-2"/>
          <w:w w:val="100"/>
          <w:sz w:val="28"/>
          <w:u w:val="single"/>
          <w:vertAlign w:val="baseline"/>
          <w:lang w:val="en-US"/>
        </w:rPr>
        <w:t xml:space="preserve"> (date) </w:t>
      </w:r>
      <w:r>
        <w:rPr>
          <w:rFonts w:ascii="Arial" w:hAnsi="Arial" w:eastAsia="Arial"/>
          <w:strike w:val="false"/>
          <w:color w:val="000000"/>
          <w:spacing w:val="-2"/>
          <w:w w:val="100"/>
          <w:sz w:val="28"/>
          <w:vertAlign w:val="baseline"/>
          <w:lang w:val="en-US"/>
        </w:rPr>
        <w:t xml:space="preserve"> , in the county of </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t>
        <w:br/>
      </w:r>
      <w:r>
        <w:rPr>
          <w:rFonts w:ascii="Arial" w:hAnsi="Arial" w:eastAsia="Arial"/>
          <w:strike w:val="false"/>
          <w:color w:val="000000"/>
          <w:spacing w:val="-2"/>
          <w:w w:val="100"/>
          <w:sz w:val="28"/>
          <w:vertAlign w:val="baseline"/>
          <w:lang w:val="en-US"/>
        </w:rPr>
        <w:t xml:space="preserve">the defendant, </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simultaneously with ten or more other persons, engaged in tumultuous and violent conduct;</w:t>
      </w:r>
    </w:p>
    <w:p>
      <w:pPr>
        <w:pageBreakBefore w:val="false"/>
        <w:numPr>
          <w:ilvl w:val="0"/>
          <w:numId w:val="2"/>
        </w:numPr>
        <w:tabs>
          <w:tab w:val="clear" w:pos="432"/>
          <w:tab w:val="left" w:pos="1152"/>
        </w:tabs>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intentionally or recklessly caused or created a grave risk of causing public alarm; and</w:t>
      </w:r>
    </w:p>
    <w:p>
      <w:pPr>
        <w:pageBreakBefore w:val="false"/>
        <w:numPr>
          <w:ilvl w:val="0"/>
          <w:numId w:val="2"/>
        </w:numPr>
        <w:tabs>
          <w:tab w:val="clear" w:pos="432"/>
          <w:tab w:val="left" w:pos="1152"/>
        </w:tabs>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course of and as a result of such conduct, a person other than one of the participants suffered physical injury, or substantial property damage occurred.</w:t>
      </w:r>
    </w:p>
    <w:p>
      <w:pPr>
        <w:pageBreakBefore w:val="false"/>
        <w:spacing w:before="324" w:after="792"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7" w:after="0" w:line="301"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1.2pt" strokecolor="#000000" from="107.75pt,598.55pt" to="252.05pt,598.5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2</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Penal Law §15.05(3); </w:t>
      </w:r>
      <w:r>
        <w:rPr>
          <w:rFonts w:ascii="Arial" w:hAnsi="Arial" w:eastAsia="Arial"/>
          <w:i w:val="true"/>
          <w:strike w:val="false"/>
          <w:color w:val="000000"/>
          <w:spacing w:val="0"/>
          <w:w w:val="100"/>
          <w:sz w:val="26"/>
          <w:vertAlign w:val="baseline"/>
          <w:lang w:val="en-US"/>
        </w:rPr>
        <w:t xml:space="preserve">People v. Boutin</w:t>
      </w:r>
      <w:r>
        <w:rPr>
          <w:rFonts w:ascii="Arial" w:hAnsi="Arial" w:eastAsia="Arial"/>
          <w:strike w:val="false"/>
          <w:color w:val="000000"/>
          <w:spacing w:val="0"/>
          <w:w w:val="100"/>
          <w:sz w:val="26"/>
          <w:vertAlign w:val="baseline"/>
          <w:lang w:val="en-US"/>
        </w:rPr>
        <w:t xml:space="preserve">, 75 NY2d 692, 696 (1990).</w:t>
      </w:r>
    </w:p>
    <w:p>
      <w:pPr>
        <w:pageBreakBefore w:val="false"/>
        <w:spacing w:before="236" w:after="0" w:line="296"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§15.05(3).</w:t>
      </w:r>
    </w:p>
    <w:p>
      <w:pPr>
        <w:pageBreakBefore w:val="false"/>
        <w:spacing w:before="14" w:after="0" w:line="520" w:lineRule="exact"/>
        <w:ind w:right="0" w:left="3888" w:hanging="3168"/>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4</w:t>
      </w:r>
      <w:r>
        <w:rPr>
          <w:rFonts w:ascii="Arial" w:hAnsi="Arial" w:eastAsia="Arial"/>
          <w:strike w:val="false"/>
          <w:color w:val="000000"/>
          <w:spacing w:val="0"/>
          <w:w w:val="100"/>
          <w:sz w:val="26"/>
          <w:vertAlign w:val="baseline"/>
          <w:lang w:val="en-US"/>
        </w:rPr>
        <w:t xml:space="preserve"> Penal Law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 2</w:t>
      </w:r>
    </w:p>
    <w:p>
      <w:pPr>
        <w:sectPr>
          <w:type w:val="nextPage"/>
          <w:pgSz w:w="12240" w:h="15840" w:orient="portrait"/>
          <w:pgMar w:bottom="1024" w:top="1400" w:right="2145" w:left="2155" w:header="720" w:footer="720"/>
          <w:titlePg w:val="false"/>
          <w:textDirection w:val="lrTb"/>
        </w:sectPr>
      </w:pPr>
    </w:p>
    <w:p>
      <w:pPr>
        <w:pageBreakBefore w:val="false"/>
        <w:spacing w:before="2" w:after="11706"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1706" w:line="326" w:lineRule="exact"/>
        <w:sectPr>
          <w:type w:val="nextPage"/>
          <w:pgSz w:w="12240" w:h="15840" w:orient="portrait"/>
          <w:pgMar w:bottom="1024" w:top="1440" w:right="2147" w:left="2153"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w:t>
      </w:r>
    </w:p>
    <w:sectPr>
      <w:type w:val="continuous"/>
      <w:pgSz w:w="12240" w:h="15840" w:orient="portrait"/>
      <w:pgMar w:bottom="1024" w:top="1440" w:right="2148" w:left="215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abstractNum w:abstractNumId="2">
    <w:lvl w:ilvl="0">
      <w:start w:val="1"/>
      <w:numFmt w:val="decimal"/>
      <w:lvlText w:val="%1."/>
      <w:pPr>
        <w:tabs>
          <w:tab w:val="left" w:pos="432"/>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