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RIOT IN THE SECOND DEGREE</w:t>
        <w:br/>
      </w:r>
      <w:r>
        <w:rPr>
          <w:rFonts w:ascii="Arial" w:hAnsi="Arial" w:eastAsia="Arial"/>
          <w:b w:val="true"/>
          <w:strike w:val="false"/>
          <w:color w:val="000000"/>
          <w:spacing w:val="0"/>
          <w:w w:val="100"/>
          <w:sz w:val="28"/>
          <w:vertAlign w:val="baseline"/>
          <w:lang w:val="en-US"/>
        </w:rPr>
        <w:t xml:space="preserve">Penal Law § 240.05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8"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Riot in the Second Degree.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Riot in the Second Degree when, simultaneously with four or more other persons, he or she engages in tumultuous and violent conduct and thereby intentionally or recklessly causes or creates a grave risk of causing public alarm.</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causes or creates a grave risk of causing public alarm when his or her conscious objective or purpose is to do so.</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RECKLESSLY causes or creates a grave risk of causing public alarm when that person</w:t>
      </w:r>
    </w:p>
    <w:p>
      <w:pPr>
        <w:pageBreakBefore w:val="false"/>
        <w:spacing w:before="332"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engages in conduct which causes or creates a grave and unjustifiable risk of causing public alarm,</w:t>
      </w:r>
    </w:p>
    <w:p>
      <w:pPr>
        <w:pageBreakBefore w:val="false"/>
        <w:spacing w:before="326"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he or she is aware of and consciously disregards that risk,</w:t>
      </w:r>
    </w:p>
    <w:p>
      <w:pPr>
        <w:pageBreakBefore w:val="false"/>
        <w:spacing w:before="333" w:after="848"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that risk is of such nature and degree that disregard of it constitutes a gross deviation from the standard of conduct that a reasonable person would observe in that situation.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257" w:after="0" w:line="297" w:lineRule="exact"/>
        <w:ind w:right="0" w:left="720" w:firstLine="0"/>
        <w:jc w:val="left"/>
        <w:textAlignment w:val="baseline"/>
        <w:rPr>
          <w:rFonts w:ascii="Arial" w:hAnsi="Arial" w:eastAsia="Arial"/>
          <w:strike w:val="false"/>
          <w:color w:val="000000"/>
          <w:spacing w:val="1"/>
          <w:w w:val="100"/>
          <w:sz w:val="16"/>
          <w:vertAlign w:val="superscript"/>
          <w:lang w:val="en-US"/>
        </w:rPr>
      </w:pPr>
      <w:r>
        <w:pict>
          <v:line strokeweight="0.95pt" strokecolor="#000000" from="108pt,651.35pt" to="252.05pt,651.35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1</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15.05(1)</w:t>
      </w:r>
    </w:p>
    <w:p>
      <w:pPr>
        <w:pageBreakBefore w:val="false"/>
        <w:spacing w:before="241" w:after="0" w:line="300" w:lineRule="exact"/>
        <w:ind w:right="0" w:left="0" w:firstLine="72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Penal Law 15.05(3); </w:t>
      </w:r>
      <w:r>
        <w:rPr>
          <w:rFonts w:ascii="Arial" w:hAnsi="Arial" w:eastAsia="Arial"/>
          <w:i w:val="true"/>
          <w:strike w:val="false"/>
          <w:color w:val="000000"/>
          <w:spacing w:val="0"/>
          <w:w w:val="100"/>
          <w:sz w:val="26"/>
          <w:vertAlign w:val="baseline"/>
          <w:lang w:val="en-US"/>
        </w:rPr>
        <w:t xml:space="preserve">People v. Boutin</w:t>
      </w:r>
      <w:r>
        <w:rPr>
          <w:rFonts w:ascii="Arial" w:hAnsi="Arial" w:eastAsia="Arial"/>
          <w:strike w:val="false"/>
          <w:color w:val="000000"/>
          <w:spacing w:val="0"/>
          <w:w w:val="100"/>
          <w:sz w:val="26"/>
          <w:vertAlign w:val="baseline"/>
          <w:lang w:val="en-US"/>
        </w:rPr>
        <w:t xml:space="preserve">, 75 NY2d 692, 696 (1990).</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7"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p>
    <w:p>
      <w:pPr>
        <w:pageBreakBefore w:val="false"/>
        <w:spacing w:before="32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two elements:</w:t>
      </w:r>
    </w:p>
    <w:p>
      <w:pPr>
        <w:pageBreakBefore w:val="false"/>
        <w:numPr>
          <w:ilvl w:val="0"/>
          <w:numId w:val="1"/>
        </w:numPr>
        <w:tabs>
          <w:tab w:val="clear" w:pos="720"/>
          <w:tab w:val="left" w:pos="1440"/>
          <w:tab w:val="right" w:leader="none" w:pos="792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br/>
      </w:r>
      <w:r>
        <w:rPr>
          <w:rFonts w:ascii="Arial" w:hAnsi="Arial" w:eastAsia="Arial"/>
          <w:strike w:val="false"/>
          <w:color w:val="000000"/>
          <w:spacing w:val="0"/>
          <w:w w:val="100"/>
          <w:sz w:val="28"/>
          <w:vertAlign w:val="baseline"/>
          <w:lang w:val="en-US"/>
        </w:rPr>
        <w:t xml:space="preserve">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simultaneously with four or more other persons, engaged in tumultuous and violent conduct, and</w:t>
      </w:r>
    </w:p>
    <w:p>
      <w:pPr>
        <w:pageBreakBefore w:val="false"/>
        <w:numPr>
          <w:ilvl w:val="0"/>
          <w:numId w:val="2"/>
        </w:numPr>
        <w:tabs>
          <w:tab w:val="clear" w:pos="504"/>
          <w:tab w:val="left" w:pos="1224"/>
        </w:tabs>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intentionally or recklessly caused or created a grave risk of causing public alarm.</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3974"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3974" w:line="324" w:lineRule="exact"/>
        <w:sectPr>
          <w:type w:val="nextPage"/>
          <w:pgSz w:w="12240" w:h="15840" w:orient="portrait"/>
          <w:pgMar w:bottom="984" w:top="1440" w:right="2145" w:left="2155" w:header="720" w:footer="720"/>
          <w:titlePg w:val="false"/>
          <w:textDirection w:val="lrTb"/>
        </w:sectPr>
      </w:pPr>
    </w:p>
    <w:p>
      <w:pPr>
        <w:pageBreakBefore w:val="false"/>
        <w:spacing w:before="259" w:after="0" w:line="300" w:lineRule="exact"/>
        <w:ind w:right="0" w:left="0" w:firstLine="0"/>
        <w:jc w:val="right"/>
        <w:textAlignment w:val="baseline"/>
        <w:rPr>
          <w:rFonts w:ascii="Arial" w:hAnsi="Arial" w:eastAsia="Arial"/>
          <w:strike w:val="false"/>
          <w:color w:val="000000"/>
          <w:spacing w:val="1"/>
          <w:w w:val="100"/>
          <w:sz w:val="16"/>
          <w:vertAlign w:val="superscript"/>
          <w:lang w:val="en-US"/>
        </w:rPr>
      </w:pPr>
      <w:r>
        <w:pict>
          <v:line strokeweight="1.2pt" strokecolor="#000000" from="108pt,693.1pt" to="252.05pt,693.1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3</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15.05(3).</w:t>
      </w:r>
    </w:p>
    <w:sectPr>
      <w:type w:val="continuous"/>
      <w:pgSz w:w="12240" w:h="15840" w:orient="portrait"/>
      <w:pgMar w:bottom="984" w:top="1440" w:right="628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04"/>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