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DBBAA" w14:textId="77777777" w:rsidR="00D06F7C" w:rsidRPr="0081033F" w:rsidRDefault="00D06F7C">
      <w:pPr>
        <w:tabs>
          <w:tab w:val="center" w:pos="3960"/>
        </w:tabs>
        <w:spacing w:line="263" w:lineRule="auto"/>
        <w:jc w:val="both"/>
        <w:rPr>
          <w:rFonts w:ascii="Arial" w:eastAsia="Yu Gothic UI" w:hAnsi="Arial" w:cs="Arial"/>
          <w:b/>
          <w:bCs/>
          <w:sz w:val="28"/>
          <w:szCs w:val="28"/>
        </w:rPr>
      </w:pPr>
      <w:r w:rsidRPr="0081033F">
        <w:rPr>
          <w:rFonts w:ascii="Arial" w:eastAsia="Yu Gothic UI" w:hAnsi="Arial" w:cs="Arial"/>
          <w:b/>
          <w:bCs/>
          <w:sz w:val="28"/>
          <w:szCs w:val="28"/>
        </w:rPr>
        <w:tab/>
        <w:t>PROSTITUTION IN A SCHOOL ZONE</w:t>
      </w:r>
    </w:p>
    <w:p w14:paraId="119524DB" w14:textId="77777777" w:rsidR="00D06F7C" w:rsidRPr="0081033F" w:rsidRDefault="00D06F7C">
      <w:pPr>
        <w:spacing w:line="263" w:lineRule="auto"/>
        <w:jc w:val="center"/>
        <w:rPr>
          <w:rFonts w:ascii="Arial" w:eastAsia="Yu Gothic UI" w:hAnsi="Arial" w:cs="Arial"/>
          <w:b/>
          <w:bCs/>
          <w:sz w:val="28"/>
          <w:szCs w:val="28"/>
        </w:rPr>
      </w:pPr>
      <w:r w:rsidRPr="0081033F">
        <w:rPr>
          <w:rFonts w:ascii="Arial" w:eastAsia="Yu Gothic UI" w:hAnsi="Arial" w:cs="Arial"/>
          <w:b/>
          <w:bCs/>
          <w:sz w:val="28"/>
          <w:szCs w:val="28"/>
        </w:rPr>
        <w:t xml:space="preserve">Penal Law </w:t>
      </w:r>
      <w:r w:rsidRPr="0081033F">
        <w:rPr>
          <w:rFonts w:ascii="Arial" w:eastAsia="Yu Gothic UI" w:hAnsi="Arial" w:cs="Arial"/>
          <w:b/>
          <w:bCs/>
          <w:sz w:val="28"/>
          <w:szCs w:val="28"/>
        </w:rPr>
        <w:sym w:font="WP TypographicSymbols" w:char="0027"/>
      </w:r>
      <w:r w:rsidRPr="0081033F">
        <w:rPr>
          <w:rFonts w:ascii="Arial" w:eastAsia="Yu Gothic UI" w:hAnsi="Arial" w:cs="Arial"/>
          <w:b/>
          <w:bCs/>
          <w:sz w:val="28"/>
          <w:szCs w:val="28"/>
        </w:rPr>
        <w:t xml:space="preserve"> 230.03</w:t>
      </w:r>
    </w:p>
    <w:p w14:paraId="21B3A39A" w14:textId="77777777" w:rsidR="00D06F7C" w:rsidRPr="0081033F" w:rsidRDefault="00D06F7C">
      <w:pPr>
        <w:spacing w:line="263" w:lineRule="auto"/>
        <w:jc w:val="center"/>
        <w:rPr>
          <w:rFonts w:ascii="Arial" w:eastAsia="Yu Gothic UI" w:hAnsi="Arial" w:cs="Arial"/>
          <w:sz w:val="28"/>
          <w:szCs w:val="28"/>
        </w:rPr>
      </w:pPr>
      <w:r w:rsidRPr="0081033F">
        <w:rPr>
          <w:rFonts w:ascii="Arial" w:eastAsia="Yu Gothic UI" w:hAnsi="Arial" w:cs="Arial"/>
          <w:b/>
          <w:bCs/>
          <w:sz w:val="28"/>
          <w:szCs w:val="28"/>
        </w:rPr>
        <w:t>(Committed on or after Jan. 19, 2016)</w:t>
      </w:r>
    </w:p>
    <w:p w14:paraId="03980DB6" w14:textId="77777777" w:rsidR="00D06F7C" w:rsidRPr="0081033F" w:rsidRDefault="00D06F7C">
      <w:pPr>
        <w:spacing w:line="263" w:lineRule="auto"/>
        <w:jc w:val="center"/>
        <w:rPr>
          <w:rFonts w:ascii="Arial" w:eastAsia="Yu Gothic UI" w:hAnsi="Arial" w:cs="Arial"/>
          <w:sz w:val="28"/>
          <w:szCs w:val="28"/>
        </w:rPr>
      </w:pPr>
    </w:p>
    <w:p w14:paraId="7B52AC85" w14:textId="77777777" w:rsidR="00D06F7C" w:rsidRPr="0081033F" w:rsidRDefault="00D06F7C">
      <w:pPr>
        <w:spacing w:line="263" w:lineRule="auto"/>
        <w:ind w:firstLine="720"/>
        <w:jc w:val="both"/>
        <w:rPr>
          <w:rFonts w:ascii="Arial" w:eastAsia="Yu Gothic UI" w:hAnsi="Arial" w:cs="Arial"/>
          <w:sz w:val="28"/>
          <w:szCs w:val="28"/>
        </w:rPr>
      </w:pPr>
      <w:r w:rsidRPr="0081033F">
        <w:rPr>
          <w:rFonts w:ascii="Arial" w:eastAsia="Yu Gothic UI" w:hAnsi="Arial" w:cs="Arial"/>
          <w:sz w:val="28"/>
          <w:szCs w:val="28"/>
        </w:rPr>
        <w:t>The (</w:t>
      </w:r>
      <w:r w:rsidRPr="0081033F">
        <w:rPr>
          <w:rFonts w:ascii="Arial" w:eastAsia="Yu Gothic UI" w:hAnsi="Arial" w:cs="Arial"/>
          <w:i/>
          <w:iCs/>
          <w:sz w:val="28"/>
          <w:szCs w:val="28"/>
          <w:u w:val="single"/>
        </w:rPr>
        <w:t>specify</w:t>
      </w:r>
      <w:r w:rsidRPr="0081033F">
        <w:rPr>
          <w:rFonts w:ascii="Arial" w:eastAsia="Yu Gothic UI" w:hAnsi="Arial" w:cs="Arial"/>
          <w:sz w:val="28"/>
          <w:szCs w:val="28"/>
        </w:rPr>
        <w:t>) count is Prostitution in a School Zone.</w:t>
      </w:r>
    </w:p>
    <w:p w14:paraId="2DB16D5E" w14:textId="77777777" w:rsidR="00D06F7C" w:rsidRPr="0081033F" w:rsidRDefault="00D06F7C">
      <w:pPr>
        <w:spacing w:line="263" w:lineRule="auto"/>
        <w:jc w:val="both"/>
        <w:rPr>
          <w:rFonts w:ascii="Arial" w:eastAsia="Yu Gothic UI" w:hAnsi="Arial" w:cs="Arial"/>
          <w:sz w:val="28"/>
          <w:szCs w:val="28"/>
        </w:rPr>
      </w:pPr>
    </w:p>
    <w:p w14:paraId="0ABD7D27" w14:textId="77777777" w:rsidR="00D06F7C" w:rsidRPr="0081033F" w:rsidRDefault="00D06F7C">
      <w:pPr>
        <w:spacing w:line="263" w:lineRule="auto"/>
        <w:ind w:firstLine="720"/>
        <w:jc w:val="both"/>
        <w:rPr>
          <w:rFonts w:ascii="Arial" w:eastAsia="Yu Gothic UI" w:hAnsi="Arial" w:cs="Arial"/>
          <w:sz w:val="28"/>
          <w:szCs w:val="28"/>
        </w:rPr>
      </w:pPr>
      <w:r w:rsidRPr="0081033F">
        <w:rPr>
          <w:rFonts w:ascii="Arial" w:eastAsia="Yu Gothic UI" w:hAnsi="Arial" w:cs="Arial"/>
          <w:sz w:val="28"/>
          <w:szCs w:val="28"/>
        </w:rPr>
        <w:t>Under our law, a person is guilty of prostitution in a school zone when, being nineteen years of age or older, and acting during the hours that school is in session, he or she commits the crime of prostitution</w:t>
      </w:r>
      <w:r w:rsidRPr="0081033F">
        <w:rPr>
          <w:rStyle w:val="FootnoteReference"/>
          <w:rFonts w:ascii="Arial" w:eastAsia="Yu Gothic UI" w:hAnsi="Arial" w:cs="Arial"/>
          <w:sz w:val="28"/>
          <w:szCs w:val="28"/>
          <w:vertAlign w:val="superscript"/>
        </w:rPr>
        <w:footnoteReference w:id="1"/>
      </w:r>
      <w:r w:rsidRPr="0081033F">
        <w:rPr>
          <w:rFonts w:ascii="Arial" w:eastAsia="Yu Gothic UI" w:hAnsi="Arial" w:cs="Arial"/>
          <w:sz w:val="28"/>
          <w:szCs w:val="28"/>
        </w:rPr>
        <w:t xml:space="preserve"> at a place that he or she knows, or reasonably should know, is in a school zone, and he or she knows, or reasonably should know, that such act of prostitution is within the direct view of children attending such school.</w:t>
      </w:r>
    </w:p>
    <w:p w14:paraId="2276F805" w14:textId="77777777" w:rsidR="00D06F7C" w:rsidRPr="0081033F" w:rsidRDefault="00D06F7C">
      <w:pPr>
        <w:spacing w:line="263" w:lineRule="auto"/>
        <w:ind w:firstLine="720"/>
        <w:jc w:val="both"/>
        <w:rPr>
          <w:rFonts w:ascii="Arial" w:eastAsia="Yu Gothic UI" w:hAnsi="Arial" w:cs="Arial"/>
          <w:sz w:val="28"/>
          <w:szCs w:val="28"/>
        </w:rPr>
      </w:pPr>
    </w:p>
    <w:p w14:paraId="491589CB" w14:textId="77777777" w:rsidR="00D06F7C" w:rsidRPr="0081033F" w:rsidRDefault="00D06F7C">
      <w:pPr>
        <w:spacing w:line="263" w:lineRule="auto"/>
        <w:ind w:firstLine="720"/>
        <w:jc w:val="both"/>
        <w:rPr>
          <w:rFonts w:ascii="Arial" w:eastAsia="Yu Gothic UI" w:hAnsi="Arial" w:cs="Arial"/>
          <w:sz w:val="28"/>
          <w:szCs w:val="28"/>
        </w:rPr>
      </w:pPr>
      <w:r w:rsidRPr="0081033F">
        <w:rPr>
          <w:rFonts w:ascii="Arial" w:eastAsia="Yu Gothic UI" w:hAnsi="Arial" w:cs="Arial"/>
          <w:sz w:val="28"/>
          <w:szCs w:val="28"/>
        </w:rPr>
        <w:t>The following terms used in that definition have a special meaning:</w:t>
      </w:r>
    </w:p>
    <w:p w14:paraId="5A541081" w14:textId="77777777" w:rsidR="00D06F7C" w:rsidRPr="0081033F" w:rsidRDefault="00D06F7C">
      <w:pPr>
        <w:spacing w:line="263" w:lineRule="auto"/>
        <w:jc w:val="both"/>
        <w:rPr>
          <w:rFonts w:ascii="Arial" w:eastAsia="Yu Gothic UI" w:hAnsi="Arial" w:cs="Arial"/>
          <w:sz w:val="28"/>
          <w:szCs w:val="28"/>
        </w:rPr>
      </w:pPr>
    </w:p>
    <w:p w14:paraId="660A03F2" w14:textId="2AAD4695" w:rsidR="00D06F7C" w:rsidRDefault="00D06F7C">
      <w:pPr>
        <w:spacing w:line="263" w:lineRule="auto"/>
        <w:ind w:firstLine="720"/>
        <w:jc w:val="both"/>
        <w:rPr>
          <w:rFonts w:ascii="Arial" w:eastAsia="Yu Gothic UI" w:hAnsi="Arial" w:cs="Arial"/>
          <w:sz w:val="28"/>
          <w:szCs w:val="28"/>
        </w:rPr>
      </w:pPr>
      <w:r w:rsidRPr="0081033F">
        <w:rPr>
          <w:rFonts w:ascii="Arial" w:eastAsia="Yu Gothic UI" w:hAnsi="Arial" w:cs="Arial"/>
          <w:sz w:val="28"/>
          <w:szCs w:val="28"/>
        </w:rPr>
        <w:t xml:space="preserve">PROSTITUTION means the act or practice of engaging, or agreeing or offering to engage in </w:t>
      </w:r>
      <w:r w:rsidR="0081033F" w:rsidRPr="0081033F">
        <w:rPr>
          <w:rFonts w:ascii="Arial" w:eastAsia="Arial" w:hAnsi="Arial"/>
          <w:color w:val="000000"/>
          <w:sz w:val="28"/>
          <w:szCs w:val="22"/>
        </w:rPr>
        <w:t>sexual conduct</w:t>
      </w:r>
      <w:r w:rsidR="0081033F" w:rsidRPr="0081033F">
        <w:rPr>
          <w:rFonts w:ascii="Arial" w:eastAsia="Arial" w:hAnsi="Arial"/>
          <w:color w:val="000000"/>
          <w:sz w:val="28"/>
          <w:szCs w:val="22"/>
          <w:vertAlign w:val="superscript"/>
        </w:rPr>
        <w:footnoteReference w:id="2"/>
      </w:r>
      <w:r w:rsidR="0081033F" w:rsidRPr="0081033F">
        <w:rPr>
          <w:rFonts w:ascii="Arial" w:eastAsia="Arial" w:hAnsi="Arial"/>
          <w:color w:val="000000"/>
          <w:sz w:val="17"/>
          <w:szCs w:val="22"/>
        </w:rPr>
        <w:t xml:space="preserve"> </w:t>
      </w:r>
      <w:r w:rsidRPr="0081033F">
        <w:rPr>
          <w:rFonts w:ascii="Arial" w:eastAsia="Yu Gothic UI" w:hAnsi="Arial" w:cs="Arial"/>
          <w:sz w:val="28"/>
          <w:szCs w:val="28"/>
        </w:rPr>
        <w:t>with another person in return for a fee.</w:t>
      </w:r>
    </w:p>
    <w:p w14:paraId="3DECF2F4" w14:textId="77777777" w:rsidR="0081033F" w:rsidRPr="0081033F" w:rsidRDefault="0081033F">
      <w:pPr>
        <w:spacing w:line="263" w:lineRule="auto"/>
        <w:ind w:firstLine="720"/>
        <w:jc w:val="both"/>
        <w:rPr>
          <w:rFonts w:ascii="Arial" w:eastAsia="Yu Gothic UI" w:hAnsi="Arial" w:cs="Arial"/>
          <w:sz w:val="28"/>
          <w:szCs w:val="28"/>
        </w:rPr>
      </w:pPr>
    </w:p>
    <w:p w14:paraId="0845608D" w14:textId="77777777" w:rsidR="00D06F7C" w:rsidRPr="0081033F" w:rsidRDefault="00D06F7C">
      <w:pPr>
        <w:spacing w:line="263" w:lineRule="auto"/>
        <w:ind w:firstLine="720"/>
        <w:jc w:val="both"/>
        <w:rPr>
          <w:rFonts w:ascii="Arial" w:eastAsia="Yu Gothic UI" w:hAnsi="Arial" w:cs="Arial"/>
          <w:sz w:val="28"/>
          <w:szCs w:val="28"/>
        </w:rPr>
      </w:pPr>
      <w:r w:rsidRPr="0081033F">
        <w:rPr>
          <w:rFonts w:ascii="Arial" w:eastAsia="Yu Gothic UI" w:hAnsi="Arial" w:cs="Arial"/>
          <w:sz w:val="28"/>
          <w:szCs w:val="28"/>
        </w:rPr>
        <w:t>SCHOOL ZONE means (a) in or on or within any building, structure, athletic playing field, playground or land contained within the real property boundary line of a public or private elementary, parochial, intermediate, junior high, vocational, or high school, or (b) any public sidewalk, street, parking lot, park, playground or private land, located immediately adjacent to the boundary line of such school.</w:t>
      </w:r>
    </w:p>
    <w:p w14:paraId="6895C34F" w14:textId="77777777" w:rsidR="00D06F7C" w:rsidRPr="0081033F" w:rsidRDefault="00D06F7C">
      <w:pPr>
        <w:spacing w:line="263" w:lineRule="auto"/>
        <w:jc w:val="both"/>
        <w:rPr>
          <w:rFonts w:ascii="Arial" w:eastAsia="Yu Gothic UI" w:hAnsi="Arial" w:cs="Arial"/>
          <w:sz w:val="28"/>
          <w:szCs w:val="28"/>
        </w:rPr>
      </w:pPr>
    </w:p>
    <w:p w14:paraId="54728F7B" w14:textId="77777777" w:rsidR="00D06F7C" w:rsidRPr="0081033F" w:rsidRDefault="00D06F7C">
      <w:pPr>
        <w:spacing w:line="263" w:lineRule="auto"/>
        <w:ind w:firstLine="720"/>
        <w:jc w:val="both"/>
        <w:rPr>
          <w:rFonts w:ascii="Arial" w:eastAsia="Yu Gothic UI" w:hAnsi="Arial" w:cs="Arial"/>
          <w:sz w:val="28"/>
          <w:szCs w:val="28"/>
        </w:rPr>
      </w:pPr>
      <w:r w:rsidRPr="0081033F">
        <w:rPr>
          <w:rFonts w:ascii="Arial" w:eastAsia="Yu Gothic UI" w:hAnsi="Arial" w:cs="Arial"/>
          <w:sz w:val="28"/>
          <w:szCs w:val="28"/>
        </w:rPr>
        <w:t xml:space="preserve"> In order for you to find the defendant guilty of this crime, the People are required to prove, from all the evidence in the case, beyond a reasonable doubt, each of the following four  elements:</w:t>
      </w:r>
    </w:p>
    <w:p w14:paraId="49F73D19" w14:textId="77777777" w:rsidR="00D06F7C" w:rsidRPr="0081033F" w:rsidRDefault="00D06F7C">
      <w:pPr>
        <w:spacing w:line="263" w:lineRule="auto"/>
        <w:ind w:firstLine="720"/>
        <w:jc w:val="both"/>
        <w:rPr>
          <w:rFonts w:ascii="Arial" w:eastAsia="Yu Gothic UI" w:hAnsi="Arial" w:cs="Arial"/>
          <w:sz w:val="28"/>
          <w:szCs w:val="28"/>
        </w:rPr>
        <w:sectPr w:rsidR="00D06F7C" w:rsidRPr="0081033F">
          <w:footerReference w:type="default" r:id="rId6"/>
          <w:pgSz w:w="12240" w:h="15840"/>
          <w:pgMar w:top="1080" w:right="2160" w:bottom="1080" w:left="2160" w:header="1080" w:footer="1080" w:gutter="0"/>
          <w:cols w:space="720"/>
          <w:noEndnote/>
        </w:sectPr>
      </w:pPr>
    </w:p>
    <w:p w14:paraId="2CEFB2A3" w14:textId="77777777" w:rsidR="00D06F7C" w:rsidRPr="0081033F" w:rsidRDefault="00D06F7C">
      <w:pPr>
        <w:spacing w:line="263" w:lineRule="auto"/>
        <w:ind w:firstLine="720"/>
        <w:jc w:val="both"/>
        <w:rPr>
          <w:rFonts w:ascii="Arial" w:eastAsia="Yu Gothic UI" w:hAnsi="Arial" w:cs="Arial"/>
          <w:sz w:val="28"/>
          <w:szCs w:val="28"/>
        </w:rPr>
      </w:pPr>
    </w:p>
    <w:p w14:paraId="02A4E6CB" w14:textId="77777777" w:rsidR="00D06F7C" w:rsidRPr="0081033F" w:rsidRDefault="00D06F7C">
      <w:pPr>
        <w:spacing w:line="263" w:lineRule="auto"/>
        <w:ind w:firstLine="720"/>
        <w:jc w:val="both"/>
        <w:rPr>
          <w:rFonts w:ascii="Arial" w:eastAsia="Yu Gothic UI" w:hAnsi="Arial" w:cs="Arial"/>
          <w:sz w:val="28"/>
          <w:szCs w:val="28"/>
        </w:rPr>
      </w:pPr>
      <w:r w:rsidRPr="0081033F">
        <w:rPr>
          <w:rFonts w:ascii="Arial" w:eastAsia="Yu Gothic UI" w:hAnsi="Arial" w:cs="Arial"/>
          <w:sz w:val="28"/>
          <w:szCs w:val="28"/>
        </w:rPr>
        <w:t>1. That on or about (</w:t>
      </w:r>
      <w:r w:rsidRPr="0081033F">
        <w:rPr>
          <w:rFonts w:ascii="Arial" w:eastAsia="Yu Gothic UI" w:hAnsi="Arial" w:cs="Arial"/>
          <w:i/>
          <w:iCs/>
          <w:sz w:val="28"/>
          <w:szCs w:val="28"/>
          <w:u w:val="single"/>
        </w:rPr>
        <w:t>date)</w:t>
      </w:r>
      <w:r w:rsidRPr="0081033F">
        <w:rPr>
          <w:rFonts w:ascii="Arial" w:eastAsia="Yu Gothic UI" w:hAnsi="Arial" w:cs="Arial"/>
          <w:sz w:val="28"/>
          <w:szCs w:val="28"/>
        </w:rPr>
        <w:t>, in the County of  (</w:t>
      </w:r>
      <w:r w:rsidRPr="0081033F">
        <w:rPr>
          <w:rFonts w:ascii="Arial" w:eastAsia="Yu Gothic UI" w:hAnsi="Arial" w:cs="Arial"/>
          <w:i/>
          <w:iCs/>
          <w:sz w:val="28"/>
          <w:szCs w:val="28"/>
          <w:u w:val="single"/>
        </w:rPr>
        <w:t>County</w:t>
      </w:r>
      <w:r w:rsidRPr="0081033F">
        <w:rPr>
          <w:rFonts w:ascii="Arial" w:eastAsia="Yu Gothic UI" w:hAnsi="Arial" w:cs="Arial"/>
          <w:sz w:val="28"/>
          <w:szCs w:val="28"/>
        </w:rPr>
        <w:t>) , the defendant, (</w:t>
      </w:r>
      <w:r w:rsidRPr="0081033F">
        <w:rPr>
          <w:rFonts w:ascii="Arial" w:eastAsia="Yu Gothic UI" w:hAnsi="Arial" w:cs="Arial"/>
          <w:i/>
          <w:iCs/>
          <w:sz w:val="28"/>
          <w:szCs w:val="28"/>
          <w:u w:val="single"/>
        </w:rPr>
        <w:t>defendant's name</w:t>
      </w:r>
      <w:r w:rsidRPr="0081033F">
        <w:rPr>
          <w:rFonts w:ascii="Arial" w:eastAsia="Yu Gothic UI" w:hAnsi="Arial" w:cs="Arial"/>
          <w:sz w:val="28"/>
          <w:szCs w:val="28"/>
        </w:rPr>
        <w:t xml:space="preserve">), acting during the hours that school is in session, committed the crime of prostitution; </w:t>
      </w:r>
    </w:p>
    <w:p w14:paraId="0B36A97B" w14:textId="77777777" w:rsidR="00D06F7C" w:rsidRPr="0081033F" w:rsidRDefault="00D06F7C">
      <w:pPr>
        <w:spacing w:line="263" w:lineRule="auto"/>
        <w:jc w:val="both"/>
        <w:rPr>
          <w:rFonts w:ascii="Arial" w:eastAsia="Yu Gothic UI" w:hAnsi="Arial" w:cs="Arial"/>
          <w:sz w:val="28"/>
          <w:szCs w:val="28"/>
        </w:rPr>
      </w:pPr>
    </w:p>
    <w:p w14:paraId="4B107BD9" w14:textId="77777777" w:rsidR="00D06F7C" w:rsidRPr="0081033F" w:rsidRDefault="00D06F7C">
      <w:pPr>
        <w:spacing w:line="263" w:lineRule="auto"/>
        <w:ind w:firstLine="720"/>
        <w:jc w:val="both"/>
        <w:rPr>
          <w:rFonts w:ascii="Arial" w:eastAsia="Yu Gothic UI" w:hAnsi="Arial" w:cs="Arial"/>
          <w:sz w:val="28"/>
          <w:szCs w:val="28"/>
        </w:rPr>
      </w:pPr>
      <w:r w:rsidRPr="0081033F">
        <w:rPr>
          <w:rFonts w:ascii="Arial" w:eastAsia="Yu Gothic UI" w:hAnsi="Arial" w:cs="Arial"/>
          <w:sz w:val="28"/>
          <w:szCs w:val="28"/>
        </w:rPr>
        <w:t>2. That the defendant did so at a place that he/she knew, or reasonably should have known, was in a school zone;</w:t>
      </w:r>
    </w:p>
    <w:p w14:paraId="526C0C16" w14:textId="77777777" w:rsidR="00D06F7C" w:rsidRPr="0081033F" w:rsidRDefault="00D06F7C">
      <w:pPr>
        <w:spacing w:line="263" w:lineRule="auto"/>
        <w:jc w:val="both"/>
        <w:rPr>
          <w:rFonts w:ascii="Arial" w:eastAsia="Yu Gothic UI" w:hAnsi="Arial" w:cs="Arial"/>
          <w:sz w:val="28"/>
          <w:szCs w:val="28"/>
        </w:rPr>
      </w:pPr>
    </w:p>
    <w:p w14:paraId="161897DD" w14:textId="77777777" w:rsidR="00D06F7C" w:rsidRPr="0081033F" w:rsidRDefault="00D06F7C">
      <w:pPr>
        <w:spacing w:line="263" w:lineRule="auto"/>
        <w:ind w:firstLine="720"/>
        <w:jc w:val="both"/>
        <w:rPr>
          <w:rFonts w:ascii="Arial" w:eastAsia="Yu Gothic UI" w:hAnsi="Arial" w:cs="Arial"/>
          <w:sz w:val="28"/>
          <w:szCs w:val="28"/>
        </w:rPr>
      </w:pPr>
      <w:r w:rsidRPr="0081033F">
        <w:rPr>
          <w:rFonts w:ascii="Arial" w:eastAsia="Yu Gothic UI" w:hAnsi="Arial" w:cs="Arial"/>
          <w:sz w:val="28"/>
          <w:szCs w:val="28"/>
        </w:rPr>
        <w:t>3. That the defendant knew, or reasonably should have known, that such act of prostitution was within the direct view of children attending such school; and</w:t>
      </w:r>
    </w:p>
    <w:p w14:paraId="4886B407" w14:textId="77777777" w:rsidR="00D06F7C" w:rsidRPr="0081033F" w:rsidRDefault="00D06F7C">
      <w:pPr>
        <w:spacing w:line="263" w:lineRule="auto"/>
        <w:jc w:val="both"/>
        <w:rPr>
          <w:rFonts w:ascii="Arial" w:eastAsia="Yu Gothic UI" w:hAnsi="Arial" w:cs="Arial"/>
          <w:sz w:val="28"/>
          <w:szCs w:val="28"/>
        </w:rPr>
      </w:pPr>
    </w:p>
    <w:p w14:paraId="72B559F7" w14:textId="77777777" w:rsidR="00D06F7C" w:rsidRPr="0081033F" w:rsidRDefault="00D06F7C">
      <w:pPr>
        <w:spacing w:line="263" w:lineRule="auto"/>
        <w:ind w:firstLine="720"/>
        <w:jc w:val="both"/>
        <w:rPr>
          <w:rFonts w:ascii="Arial" w:eastAsia="Yu Gothic UI" w:hAnsi="Arial" w:cs="Arial"/>
          <w:sz w:val="28"/>
          <w:szCs w:val="28"/>
        </w:rPr>
      </w:pPr>
      <w:r w:rsidRPr="0081033F">
        <w:rPr>
          <w:rFonts w:ascii="Arial" w:eastAsia="Yu Gothic UI" w:hAnsi="Arial" w:cs="Arial"/>
          <w:sz w:val="28"/>
          <w:szCs w:val="28"/>
        </w:rPr>
        <w:t>4. That the defendant was nineteen (19) years old or more.</w:t>
      </w:r>
    </w:p>
    <w:p w14:paraId="32494860" w14:textId="77777777" w:rsidR="00D06F7C" w:rsidRPr="0081033F" w:rsidRDefault="00D06F7C">
      <w:pPr>
        <w:spacing w:line="263" w:lineRule="auto"/>
        <w:jc w:val="both"/>
        <w:rPr>
          <w:rFonts w:ascii="Arial" w:eastAsia="Yu Gothic UI" w:hAnsi="Arial" w:cs="Arial"/>
          <w:sz w:val="28"/>
          <w:szCs w:val="28"/>
        </w:rPr>
      </w:pPr>
    </w:p>
    <w:p w14:paraId="406A573A" w14:textId="77777777" w:rsidR="00D06F7C" w:rsidRPr="0081033F" w:rsidRDefault="00D06F7C">
      <w:pPr>
        <w:spacing w:line="263" w:lineRule="auto"/>
        <w:jc w:val="both"/>
        <w:rPr>
          <w:rFonts w:ascii="Arial" w:eastAsia="Yu Gothic UI" w:hAnsi="Arial" w:cs="Arial"/>
          <w:sz w:val="28"/>
          <w:szCs w:val="28"/>
        </w:rPr>
      </w:pPr>
      <w:r w:rsidRPr="0081033F">
        <w:rPr>
          <w:rFonts w:ascii="Arial" w:eastAsia="Yu Gothic UI" w:hAnsi="Arial" w:cs="Arial"/>
          <w:i/>
          <w:iCs/>
          <w:sz w:val="28"/>
          <w:szCs w:val="28"/>
        </w:rPr>
        <w:t xml:space="preserve">[NOTE: If an affirmative defense in Penal Law </w:t>
      </w:r>
      <w:r w:rsidRPr="0081033F">
        <w:rPr>
          <w:rFonts w:ascii="Arial" w:eastAsia="Yu Gothic UI" w:hAnsi="Arial" w:cs="Arial"/>
          <w:i/>
          <w:iCs/>
          <w:sz w:val="28"/>
          <w:szCs w:val="28"/>
        </w:rPr>
        <w:sym w:font="WP TypographicSymbols" w:char="0027"/>
      </w:r>
      <w:r w:rsidRPr="0081033F">
        <w:rPr>
          <w:rFonts w:ascii="Arial" w:eastAsia="Yu Gothic UI" w:hAnsi="Arial" w:cs="Arial"/>
          <w:i/>
          <w:iCs/>
          <w:sz w:val="28"/>
          <w:szCs w:val="28"/>
        </w:rPr>
        <w:t xml:space="preserve"> 230.01 does not apply, then conclude with the following two paragraphs.  If the affirmative defense does apply, then omit the following two paragraphs, and insert here the affirmative defense charge in the Additional Charges section to this article.</w:t>
      </w:r>
      <w:r w:rsidRPr="0081033F">
        <w:rPr>
          <w:rFonts w:ascii="Arial" w:eastAsia="Yu Gothic UI" w:hAnsi="Arial" w:cs="Arial"/>
          <w:sz w:val="28"/>
          <w:szCs w:val="28"/>
        </w:rPr>
        <w:tab/>
      </w:r>
    </w:p>
    <w:p w14:paraId="4AA1296E" w14:textId="77777777" w:rsidR="00D06F7C" w:rsidRPr="0081033F" w:rsidRDefault="00D06F7C">
      <w:pPr>
        <w:spacing w:line="263" w:lineRule="auto"/>
        <w:jc w:val="both"/>
        <w:rPr>
          <w:rFonts w:ascii="Arial" w:eastAsia="Yu Gothic UI" w:hAnsi="Arial" w:cs="Arial"/>
          <w:sz w:val="28"/>
          <w:szCs w:val="28"/>
        </w:rPr>
      </w:pPr>
    </w:p>
    <w:p w14:paraId="23BF473D" w14:textId="77777777" w:rsidR="00D06F7C" w:rsidRPr="0081033F" w:rsidRDefault="00D06F7C">
      <w:pPr>
        <w:spacing w:line="263" w:lineRule="auto"/>
        <w:ind w:firstLine="720"/>
        <w:jc w:val="both"/>
        <w:rPr>
          <w:rFonts w:ascii="Arial" w:eastAsia="Yu Gothic UI" w:hAnsi="Arial" w:cs="Arial"/>
          <w:sz w:val="28"/>
          <w:szCs w:val="28"/>
        </w:rPr>
      </w:pPr>
      <w:r w:rsidRPr="0081033F">
        <w:rPr>
          <w:rFonts w:ascii="Arial" w:eastAsia="Yu Gothic UI" w:hAnsi="Arial" w:cs="Arial"/>
          <w:sz w:val="28"/>
          <w:szCs w:val="28"/>
        </w:rPr>
        <w:t>If you find the People have proven beyond a reasonable doubt each of those elements, you must find the defendant guilty of this crime.</w:t>
      </w:r>
    </w:p>
    <w:p w14:paraId="7C1CC6AC" w14:textId="77777777" w:rsidR="00D06F7C" w:rsidRPr="0081033F" w:rsidRDefault="00D06F7C">
      <w:pPr>
        <w:spacing w:line="263" w:lineRule="auto"/>
        <w:jc w:val="both"/>
        <w:rPr>
          <w:rFonts w:ascii="Arial" w:eastAsia="Yu Gothic UI" w:hAnsi="Arial" w:cs="Arial"/>
          <w:sz w:val="28"/>
          <w:szCs w:val="28"/>
        </w:rPr>
      </w:pPr>
    </w:p>
    <w:p w14:paraId="76FEBAAE" w14:textId="77777777" w:rsidR="00D06F7C" w:rsidRPr="0081033F" w:rsidRDefault="00D06F7C">
      <w:pPr>
        <w:spacing w:line="263" w:lineRule="auto"/>
        <w:ind w:firstLine="720"/>
        <w:jc w:val="both"/>
        <w:rPr>
          <w:rFonts w:ascii="Arial" w:eastAsia="Yu Gothic UI" w:hAnsi="Arial" w:cs="Arial"/>
          <w:sz w:val="28"/>
          <w:szCs w:val="28"/>
        </w:rPr>
      </w:pPr>
      <w:r w:rsidRPr="0081033F">
        <w:rPr>
          <w:rFonts w:ascii="Arial" w:eastAsia="Yu Gothic UI" w:hAnsi="Arial" w:cs="Arial"/>
          <w:sz w:val="28"/>
          <w:szCs w:val="28"/>
        </w:rPr>
        <w:t>If you find the People have not proven beyond a reasonable doubt any one or more of those elements, you must find the defendant not guilty of this crime.</w:t>
      </w:r>
    </w:p>
    <w:p w14:paraId="254C8B57" w14:textId="77777777" w:rsidR="00D06F7C" w:rsidRPr="0081033F" w:rsidRDefault="00D06F7C">
      <w:pPr>
        <w:spacing w:line="300" w:lineRule="auto"/>
        <w:jc w:val="both"/>
        <w:rPr>
          <w:rFonts w:ascii="Arial" w:eastAsia="MingLiU-ExtB" w:hAnsi="Arial" w:cs="Arial"/>
          <w:sz w:val="28"/>
          <w:szCs w:val="28"/>
        </w:rPr>
      </w:pPr>
    </w:p>
    <w:sectPr w:rsidR="00D06F7C" w:rsidRPr="0081033F" w:rsidSect="00D06F7C">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9B70A" w14:textId="77777777" w:rsidR="00342ABF" w:rsidRDefault="00342ABF" w:rsidP="00D06F7C">
      <w:r>
        <w:separator/>
      </w:r>
    </w:p>
  </w:endnote>
  <w:endnote w:type="continuationSeparator" w:id="0">
    <w:p w14:paraId="2F8F1076" w14:textId="77777777" w:rsidR="00342ABF" w:rsidRDefault="00342ABF" w:rsidP="00D0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WP Phonetic">
    <w:panose1 w:val="050B0604020202030204"/>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D9AA" w14:textId="77777777" w:rsidR="00D06F7C" w:rsidRDefault="00D06F7C">
    <w:pPr>
      <w:spacing w:line="240" w:lineRule="exact"/>
    </w:pPr>
  </w:p>
  <w:p w14:paraId="2F5BF98B" w14:textId="4C8C0A23" w:rsidR="00D06F7C" w:rsidRDefault="007C7748">
    <w:pPr>
      <w:framePr w:w="7921" w:wrap="notBeside" w:vAnchor="text" w:hAnchor="text" w:x="1" w:y="1"/>
      <w:jc w:val="center"/>
      <w:rPr>
        <w:sz w:val="16"/>
        <w:szCs w:val="16"/>
      </w:rPr>
    </w:pPr>
    <w:r>
      <w:rPr>
        <w:sz w:val="16"/>
        <w:szCs w:val="16"/>
      </w:rPr>
      <w:t>page</w:t>
    </w:r>
    <w:r w:rsidR="00D06F7C">
      <w:rPr>
        <w:sz w:val="16"/>
        <w:szCs w:val="16"/>
      </w:rPr>
      <w:sym w:font="WP Phonetic" w:char="F020"/>
    </w:r>
    <w:r w:rsidR="00D06F7C">
      <w:rPr>
        <w:sz w:val="16"/>
        <w:szCs w:val="16"/>
      </w:rPr>
      <w:fldChar w:fldCharType="begin"/>
    </w:r>
    <w:r w:rsidR="00D06F7C">
      <w:rPr>
        <w:sz w:val="16"/>
        <w:szCs w:val="16"/>
      </w:rPr>
      <w:instrText xml:space="preserve">PAGE </w:instrText>
    </w:r>
    <w:r w:rsidR="00D06F7C">
      <w:rPr>
        <w:sz w:val="16"/>
        <w:szCs w:val="16"/>
      </w:rPr>
      <w:fldChar w:fldCharType="separate"/>
    </w:r>
    <w:r w:rsidR="0081033F">
      <w:rPr>
        <w:noProof/>
        <w:sz w:val="16"/>
        <w:szCs w:val="16"/>
      </w:rPr>
      <w:t>1</w:t>
    </w:r>
    <w:r w:rsidR="00D06F7C">
      <w:rPr>
        <w:sz w:val="16"/>
        <w:szCs w:val="16"/>
      </w:rPr>
      <w:fldChar w:fldCharType="end"/>
    </w:r>
    <w:r w:rsidR="00D06F7C">
      <w:rPr>
        <w:sz w:val="16"/>
        <w:szCs w:val="16"/>
      </w:rPr>
      <w:sym w:font="WP Phonetic" w:char="F020"/>
    </w:r>
    <w:r>
      <w:rPr>
        <w:sz w:val="16"/>
        <w:szCs w:val="16"/>
      </w:rPr>
      <w:t>of</w:t>
    </w:r>
    <w:r w:rsidR="00D06F7C">
      <w:rPr>
        <w:sz w:val="16"/>
        <w:szCs w:val="16"/>
      </w:rPr>
      <w:sym w:font="WP Phonetic" w:char="F020"/>
    </w:r>
    <w:r w:rsidR="00D06F7C">
      <w:rPr>
        <w:sz w:val="16"/>
        <w:szCs w:val="16"/>
      </w:rPr>
      <w:sym w:font="WP Phonetic" w:char="F020"/>
    </w:r>
    <w:r w:rsidR="00D06F7C">
      <w:rPr>
        <w:sz w:val="16"/>
        <w:szCs w:val="16"/>
      </w:rPr>
      <w:fldChar w:fldCharType="begin"/>
    </w:r>
    <w:r w:rsidR="00D06F7C">
      <w:rPr>
        <w:sz w:val="16"/>
        <w:szCs w:val="16"/>
      </w:rPr>
      <w:instrText xml:space="preserve">NUMPAGES </w:instrText>
    </w:r>
    <w:r w:rsidR="00D06F7C">
      <w:rPr>
        <w:sz w:val="16"/>
        <w:szCs w:val="16"/>
      </w:rPr>
      <w:fldChar w:fldCharType="separate"/>
    </w:r>
    <w:r w:rsidR="0081033F">
      <w:rPr>
        <w:noProof/>
        <w:sz w:val="16"/>
        <w:szCs w:val="16"/>
      </w:rPr>
      <w:t>2</w:t>
    </w:r>
    <w:r w:rsidR="00D06F7C">
      <w:rPr>
        <w:sz w:val="16"/>
        <w:szCs w:val="16"/>
      </w:rPr>
      <w:fldChar w:fldCharType="end"/>
    </w:r>
  </w:p>
  <w:p w14:paraId="76811878" w14:textId="77777777" w:rsidR="00D06F7C" w:rsidRDefault="00D06F7C">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DF40B" w14:textId="77777777" w:rsidR="00342ABF" w:rsidRDefault="00342ABF" w:rsidP="00D06F7C">
      <w:r>
        <w:separator/>
      </w:r>
    </w:p>
  </w:footnote>
  <w:footnote w:type="continuationSeparator" w:id="0">
    <w:p w14:paraId="075033C4" w14:textId="77777777" w:rsidR="00342ABF" w:rsidRDefault="00342ABF" w:rsidP="00D06F7C">
      <w:r>
        <w:continuationSeparator/>
      </w:r>
    </w:p>
  </w:footnote>
  <w:footnote w:id="1">
    <w:p w14:paraId="53F98EC0" w14:textId="77777777" w:rsidR="00D06F7C" w:rsidRDefault="00D06F7C" w:rsidP="0081033F">
      <w:pPr>
        <w:spacing w:after="240"/>
        <w:jc w:val="both"/>
        <w:rPr>
          <w:rFonts w:ascii="Yu Gothic UI" w:eastAsia="Yu Gothic UI" w:cs="Yu Gothic UI"/>
          <w:sz w:val="22"/>
          <w:szCs w:val="22"/>
        </w:rPr>
      </w:pPr>
      <w:r>
        <w:rPr>
          <w:rStyle w:val="FootnoteReference"/>
          <w:rFonts w:ascii="MingLiU-ExtB" w:eastAsia="MingLiU-ExtB" w:cs="MingLiU-ExtB"/>
          <w:sz w:val="26"/>
          <w:szCs w:val="26"/>
          <w:vertAlign w:val="superscript"/>
        </w:rPr>
        <w:footnoteRef/>
      </w:r>
      <w:r>
        <w:rPr>
          <w:rFonts w:ascii="MingLiU-ExtB" w:eastAsia="MingLiU-ExtB" w:cs="MingLiU-ExtB"/>
          <w:sz w:val="26"/>
          <w:szCs w:val="26"/>
        </w:rPr>
        <w:t xml:space="preserve"> </w:t>
      </w:r>
      <w:r w:rsidRPr="0081033F">
        <w:rPr>
          <w:rFonts w:ascii="Arial" w:eastAsia="Yu Gothic UI" w:hAnsi="Arial" w:cs="Arial"/>
          <w:sz w:val="20"/>
          <w:szCs w:val="20"/>
        </w:rPr>
        <w:t xml:space="preserve">At this point, the statute continues: </w:t>
      </w:r>
      <w:r w:rsidRPr="0081033F">
        <w:rPr>
          <w:rFonts w:ascii="Arial" w:eastAsia="Yu Gothic UI" w:hAnsi="Arial" w:cs="Arial"/>
          <w:sz w:val="20"/>
          <w:szCs w:val="20"/>
        </w:rPr>
        <w:sym w:font="WP TypographicSymbols" w:char="0041"/>
      </w:r>
      <w:r w:rsidRPr="0081033F">
        <w:rPr>
          <w:rFonts w:ascii="Arial" w:eastAsia="Yu Gothic UI" w:hAnsi="Arial" w:cs="Arial"/>
          <w:sz w:val="20"/>
          <w:szCs w:val="20"/>
        </w:rPr>
        <w:t>in violation of section 230.00 of this article.</w:t>
      </w:r>
      <w:r w:rsidRPr="0081033F">
        <w:rPr>
          <w:rFonts w:ascii="Arial" w:eastAsia="Yu Gothic UI" w:hAnsi="Arial" w:cs="Arial"/>
          <w:sz w:val="20"/>
          <w:szCs w:val="20"/>
        </w:rPr>
        <w:sym w:font="WP TypographicSymbols" w:char="0040"/>
      </w:r>
      <w:r w:rsidRPr="0081033F">
        <w:rPr>
          <w:rFonts w:ascii="Arial" w:eastAsia="Yu Gothic UI" w:hAnsi="Arial" w:cs="Arial"/>
          <w:sz w:val="20"/>
          <w:szCs w:val="20"/>
        </w:rPr>
        <w:t xml:space="preserve"> The definition of prostitution in that section is included in the definitional section of this charge.</w:t>
      </w:r>
    </w:p>
  </w:footnote>
  <w:footnote w:id="2">
    <w:p w14:paraId="54CC5405" w14:textId="0B5D13EF" w:rsidR="0081033F" w:rsidRPr="0081033F" w:rsidRDefault="0081033F" w:rsidP="0081033F">
      <w:pPr>
        <w:pStyle w:val="FootnoteText"/>
        <w:jc w:val="both"/>
        <w:rPr>
          <w:rFonts w:ascii="Arial" w:hAnsi="Arial" w:cs="Arial"/>
        </w:rPr>
      </w:pPr>
      <w:r>
        <w:rPr>
          <w:rStyle w:val="FootnoteReference"/>
        </w:rPr>
        <w:footnoteRef/>
      </w:r>
      <w:r>
        <w:t xml:space="preserve">  </w:t>
      </w:r>
      <w:r w:rsidRPr="0081033F">
        <w:rPr>
          <w:rFonts w:ascii="Arial" w:hAnsi="Arial" w:cs="Arial"/>
        </w:rPr>
        <w:t xml:space="preserve">Except for the definition of the crimes of “aggravated patronizing a minor for prostitution” [Penal Law §§ 230.11; 230.12; and 230.13], there is no statutory definition of the term “sexual conduct” that is expressly applicable to the statutes contained in Penal Law article 230. (The term is defined in Penal Law 130.00(10) for purposes of Penal Law article 130 [sex offenses]). </w:t>
      </w:r>
      <w:r w:rsidRPr="0081033F">
        <w:rPr>
          <w:rFonts w:ascii="Arial" w:hAnsi="Arial" w:cs="Arial"/>
          <w:i/>
          <w:iCs/>
        </w:rPr>
        <w:t>See Prus v. Holder</w:t>
      </w:r>
      <w:r w:rsidRPr="0081033F">
        <w:rPr>
          <w:rFonts w:ascii="Arial" w:hAnsi="Arial" w:cs="Arial"/>
        </w:rPr>
        <w:t xml:space="preserve">, 660 F.3d 144 (2d Cir. 2011) (“Although ‘sexual conduct’ is not defined in Article 230, the plain language of the statute makes clear that prostitution in New York encompasses accepting payment for sexual acts beyond . . . “‘sexual intercourse’”).  For New York decisional law interpretations of the term for prostitution, </w:t>
      </w:r>
      <w:r w:rsidRPr="0081033F">
        <w:rPr>
          <w:rFonts w:ascii="Arial" w:hAnsi="Arial" w:cs="Arial"/>
          <w:i/>
        </w:rPr>
        <w:t>see In re Marco M</w:t>
      </w:r>
      <w:r w:rsidRPr="0081033F">
        <w:rPr>
          <w:rFonts w:ascii="Arial" w:hAnsi="Arial" w:cs="Arial"/>
        </w:rPr>
        <w:t xml:space="preserve">., 158 A.D.2d 342, 342–43 (1990) (the required element of sexual conduct was satisfied where the defendant said he wanted “to get laid but [not] shortchanged”); </w:t>
      </w:r>
      <w:r w:rsidRPr="0081033F">
        <w:rPr>
          <w:rFonts w:ascii="Arial" w:hAnsi="Arial" w:cs="Arial"/>
          <w:i/>
        </w:rPr>
        <w:t xml:space="preserve">People v. Medina, </w:t>
      </w:r>
      <w:r w:rsidRPr="0081033F">
        <w:rPr>
          <w:rFonts w:ascii="Arial" w:hAnsi="Arial" w:cs="Arial"/>
        </w:rPr>
        <w:t xml:space="preserve">179 Misc.2d 617 (Cr Court, NY County 1999) (“sexual conduct” includes a sex act between men); </w:t>
      </w:r>
      <w:r w:rsidRPr="0081033F">
        <w:rPr>
          <w:rFonts w:ascii="Arial" w:hAnsi="Arial" w:cs="Arial"/>
          <w:i/>
        </w:rPr>
        <w:t>People v. Hinzmann</w:t>
      </w:r>
      <w:r w:rsidRPr="0081033F">
        <w:rPr>
          <w:rFonts w:ascii="Arial" w:hAnsi="Arial" w:cs="Arial"/>
        </w:rPr>
        <w:t xml:space="preserve">, 177 Misc.2d 531 (Cr Ct, Bronx County, 1998) (the term includes “lap dancing” with physical contact); </w:t>
      </w:r>
      <w:r w:rsidRPr="0081033F">
        <w:rPr>
          <w:rFonts w:ascii="Arial" w:hAnsi="Arial" w:cs="Arial"/>
          <w:i/>
        </w:rPr>
        <w:t xml:space="preserve">People v. Costello, </w:t>
      </w:r>
      <w:r w:rsidRPr="0081033F">
        <w:rPr>
          <w:rFonts w:ascii="Arial" w:hAnsi="Arial" w:cs="Arial"/>
        </w:rPr>
        <w:t xml:space="preserve">90 Misc.2d 431 (Sup Ct, NY County, 1977) </w:t>
      </w:r>
      <w:r w:rsidRPr="0081033F">
        <w:rPr>
          <w:rFonts w:ascii="Arial" w:hAnsi="Arial" w:cs="Arial"/>
          <w:i/>
        </w:rPr>
        <w:t>(</w:t>
      </w:r>
      <w:r w:rsidRPr="0081033F">
        <w:rPr>
          <w:rFonts w:ascii="Arial" w:hAnsi="Arial" w:cs="Arial"/>
        </w:rPr>
        <w:t xml:space="preserve">the term includes sexual intercourse, oral and anal sexual conduct, and masturbation). </w:t>
      </w:r>
      <w:r w:rsidRPr="0081033F">
        <w:rPr>
          <w:rFonts w:ascii="Arial" w:hAnsi="Arial" w:cs="Arial"/>
          <w:i/>
        </w:rPr>
        <w:t xml:space="preserve">But see People v. Greene, </w:t>
      </w:r>
      <w:r w:rsidRPr="0081033F">
        <w:rPr>
          <w:rFonts w:ascii="Arial" w:hAnsi="Arial" w:cs="Arial"/>
        </w:rPr>
        <w:t xml:space="preserve">110 Misc.2d 40 (Cr Ct, NY County, 1981) (the term does not include “autoerotic performance” without physical contact). The term "deviate sexual intercourse" used in </w:t>
      </w:r>
      <w:r w:rsidRPr="0081033F">
        <w:rPr>
          <w:rFonts w:ascii="Arial" w:hAnsi="Arial" w:cs="Arial"/>
          <w:i/>
          <w:iCs/>
        </w:rPr>
        <w:t>Costello</w:t>
      </w:r>
      <w:r w:rsidRPr="0081033F">
        <w:rPr>
          <w:rFonts w:ascii="Arial" w:hAnsi="Arial" w:cs="Arial"/>
        </w:rPr>
        <w:t xml:space="preserve"> has since been repealed and under the current statutes refers to "oral" or "anal" sexual conduct [Penal Law § 130.00 (2) (a) and (b)].</w:t>
      </w:r>
    </w:p>
    <w:p w14:paraId="3DC02779" w14:textId="77777777" w:rsidR="0081033F" w:rsidRPr="00014CF1" w:rsidRDefault="0081033F" w:rsidP="0081033F">
      <w:pPr>
        <w:pStyle w:val="FootnoteText"/>
        <w:jc w:val="both"/>
        <w:rPr>
          <w:color w:val="00B05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7C"/>
    <w:rsid w:val="00342ABF"/>
    <w:rsid w:val="00400714"/>
    <w:rsid w:val="007C7748"/>
    <w:rsid w:val="0081033F"/>
    <w:rsid w:val="009C7C76"/>
    <w:rsid w:val="00A94641"/>
    <w:rsid w:val="00B70115"/>
    <w:rsid w:val="00D0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35C9D"/>
  <w14:defaultImageDpi w14:val="0"/>
  <w15:docId w15:val="{05B66CA0-EA98-4D0D-ACCA-C20C2E9A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81033F"/>
    <w:pPr>
      <w:widowControl/>
      <w:autoSpaceDE/>
      <w:autoSpaceDN/>
      <w:adjustRightInd/>
    </w:pPr>
    <w:rPr>
      <w:rFonts w:eastAsia="PMingLiU"/>
      <w:sz w:val="20"/>
      <w:szCs w:val="20"/>
    </w:rPr>
  </w:style>
  <w:style w:type="character" w:customStyle="1" w:styleId="FootnoteTextChar">
    <w:name w:val="Footnote Text Char"/>
    <w:basedOn w:val="DefaultParagraphFont"/>
    <w:link w:val="FootnoteText"/>
    <w:uiPriority w:val="99"/>
    <w:semiHidden/>
    <w:rsid w:val="0081033F"/>
    <w:rPr>
      <w:rFonts w:ascii="Times New Roman" w:eastAsia="PMingLiU" w:hAnsi="Times New Roman" w:cs="Times New Roman"/>
      <w:sz w:val="20"/>
      <w:szCs w:val="20"/>
    </w:rPr>
  </w:style>
  <w:style w:type="paragraph" w:styleId="Header">
    <w:name w:val="header"/>
    <w:basedOn w:val="Normal"/>
    <w:link w:val="HeaderChar"/>
    <w:uiPriority w:val="99"/>
    <w:unhideWhenUsed/>
    <w:rsid w:val="007C7748"/>
    <w:pPr>
      <w:tabs>
        <w:tab w:val="center" w:pos="4680"/>
        <w:tab w:val="right" w:pos="9360"/>
      </w:tabs>
    </w:pPr>
  </w:style>
  <w:style w:type="character" w:customStyle="1" w:styleId="HeaderChar">
    <w:name w:val="Header Char"/>
    <w:basedOn w:val="DefaultParagraphFont"/>
    <w:link w:val="Header"/>
    <w:uiPriority w:val="99"/>
    <w:rsid w:val="007C7748"/>
    <w:rPr>
      <w:rFonts w:ascii="Times New Roman" w:hAnsi="Times New Roman" w:cs="Times New Roman"/>
      <w:sz w:val="24"/>
      <w:szCs w:val="24"/>
    </w:rPr>
  </w:style>
  <w:style w:type="paragraph" w:styleId="Footer">
    <w:name w:val="footer"/>
    <w:basedOn w:val="Normal"/>
    <w:link w:val="FooterChar"/>
    <w:uiPriority w:val="99"/>
    <w:unhideWhenUsed/>
    <w:rsid w:val="007C7748"/>
    <w:pPr>
      <w:tabs>
        <w:tab w:val="center" w:pos="4680"/>
        <w:tab w:val="right" w:pos="9360"/>
      </w:tabs>
    </w:pPr>
  </w:style>
  <w:style w:type="character" w:customStyle="1" w:styleId="FooterChar">
    <w:name w:val="Footer Char"/>
    <w:basedOn w:val="DefaultParagraphFont"/>
    <w:link w:val="Footer"/>
    <w:uiPriority w:val="99"/>
    <w:rsid w:val="007C774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C7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3</cp:revision>
  <cp:lastPrinted>2020-11-10T04:08:00Z</cp:lastPrinted>
  <dcterms:created xsi:type="dcterms:W3CDTF">2020-11-10T04:11:00Z</dcterms:created>
  <dcterms:modified xsi:type="dcterms:W3CDTF">2020-11-10T18:26:00Z</dcterms:modified>
</cp:coreProperties>
</file>