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30E7" w14:textId="77777777" w:rsidR="002E3FED" w:rsidRDefault="00B72DF5">
      <w:pPr>
        <w:spacing w:before="7" w:line="331" w:lineRule="exact"/>
        <w:jc w:val="center"/>
        <w:textAlignment w:val="baseline"/>
        <w:rPr>
          <w:rFonts w:ascii="Arial" w:eastAsia="Arial" w:hAnsi="Arial"/>
          <w:b/>
          <w:color w:val="000000"/>
          <w:spacing w:val="-2"/>
          <w:sz w:val="28"/>
        </w:rPr>
      </w:pPr>
      <w:r>
        <w:rPr>
          <w:rFonts w:ascii="Arial" w:eastAsia="Arial" w:hAnsi="Arial"/>
          <w:b/>
          <w:color w:val="000000"/>
          <w:spacing w:val="-2"/>
          <w:sz w:val="28"/>
        </w:rPr>
        <w:t>PROSTITUTION</w:t>
      </w:r>
    </w:p>
    <w:p w14:paraId="245D30E8" w14:textId="77777777" w:rsidR="002E3FED" w:rsidRDefault="00B72DF5">
      <w:pPr>
        <w:spacing w:line="331" w:lineRule="exact"/>
        <w:jc w:val="center"/>
        <w:textAlignment w:val="baseline"/>
        <w:rPr>
          <w:rFonts w:ascii="Arial" w:eastAsia="Arial" w:hAnsi="Arial"/>
          <w:b/>
          <w:color w:val="000000"/>
          <w:spacing w:val="4"/>
          <w:sz w:val="28"/>
        </w:rPr>
      </w:pPr>
      <w:r>
        <w:rPr>
          <w:rFonts w:ascii="Arial" w:eastAsia="Arial" w:hAnsi="Arial"/>
          <w:b/>
          <w:color w:val="000000"/>
          <w:spacing w:val="4"/>
          <w:sz w:val="28"/>
        </w:rPr>
        <w:t>Penal Law § 230.00</w:t>
      </w:r>
    </w:p>
    <w:p w14:paraId="245D30E9" w14:textId="77777777" w:rsidR="002E3FED" w:rsidRDefault="00B72DF5">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Sept. 1, 1967)</w:t>
      </w:r>
    </w:p>
    <w:p w14:paraId="245D30EA" w14:textId="77777777" w:rsidR="002E3FED" w:rsidRDefault="00B72DF5">
      <w:pPr>
        <w:spacing w:before="328" w:line="320" w:lineRule="exact"/>
        <w:ind w:left="720"/>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Prostitution.</w:t>
      </w:r>
    </w:p>
    <w:p w14:paraId="245D30EB" w14:textId="77777777" w:rsidR="002E3FED" w:rsidRDefault="00B72DF5">
      <w:pPr>
        <w:spacing w:before="323" w:line="322"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Prostitution when such person engages, or agrees or offers to engage, in sexual conduct</w:t>
      </w:r>
      <w:r>
        <w:rPr>
          <w:rFonts w:ascii="Arial" w:eastAsia="Arial" w:hAnsi="Arial"/>
          <w:color w:val="000000"/>
          <w:sz w:val="28"/>
          <w:vertAlign w:val="superscript"/>
        </w:rPr>
        <w:t>1</w:t>
      </w:r>
      <w:r>
        <w:rPr>
          <w:rFonts w:ascii="Arial" w:eastAsia="Arial" w:hAnsi="Arial"/>
          <w:color w:val="000000"/>
          <w:sz w:val="28"/>
        </w:rPr>
        <w:t xml:space="preserve"> with another person in return for a fee.</w:t>
      </w:r>
    </w:p>
    <w:p w14:paraId="245D30EC" w14:textId="77777777" w:rsidR="002E3FED" w:rsidRDefault="00B72DF5">
      <w:pPr>
        <w:spacing w:before="335" w:line="318" w:lineRule="exact"/>
        <w:ind w:left="720"/>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Add if applicable:</w:t>
      </w:r>
    </w:p>
    <w:p w14:paraId="245D30ED" w14:textId="7ABE39D7" w:rsidR="002E3FED" w:rsidRDefault="00B72DF5">
      <w:pPr>
        <w:spacing w:line="323" w:lineRule="exact"/>
        <w:ind w:left="1512"/>
        <w:jc w:val="both"/>
        <w:textAlignment w:val="baseline"/>
        <w:rPr>
          <w:rFonts w:ascii="Arial" w:eastAsia="Arial" w:hAnsi="Arial"/>
          <w:color w:val="000000"/>
          <w:spacing w:val="-2"/>
          <w:sz w:val="28"/>
        </w:rPr>
      </w:pPr>
      <w:r>
        <w:rPr>
          <w:rFonts w:ascii="Arial" w:eastAsia="Arial" w:hAnsi="Arial"/>
          <w:color w:val="000000"/>
          <w:spacing w:val="-2"/>
          <w:sz w:val="28"/>
        </w:rPr>
        <w:t>In any prosecution for prostitution, the sex of the two parties or prospective parties to the sexual conduct engaged in, contemplated</w:t>
      </w:r>
      <w:r w:rsidR="00436465">
        <w:rPr>
          <w:rFonts w:ascii="Arial" w:eastAsia="Arial" w:hAnsi="Arial"/>
          <w:color w:val="000000"/>
          <w:spacing w:val="-2"/>
          <w:sz w:val="28"/>
        </w:rPr>
        <w:t>,</w:t>
      </w:r>
      <w:r>
        <w:rPr>
          <w:rFonts w:ascii="Arial" w:eastAsia="Arial" w:hAnsi="Arial"/>
          <w:color w:val="000000"/>
          <w:spacing w:val="-2"/>
          <w:sz w:val="28"/>
        </w:rPr>
        <w:t xml:space="preserve"> or solicited is immaterial, and it is no defense that:</w:t>
      </w:r>
    </w:p>
    <w:p w14:paraId="245D30EE" w14:textId="77777777" w:rsidR="002E3FED" w:rsidRDefault="00B72DF5">
      <w:pPr>
        <w:numPr>
          <w:ilvl w:val="0"/>
          <w:numId w:val="1"/>
        </w:numPr>
        <w:tabs>
          <w:tab w:val="clear" w:pos="288"/>
          <w:tab w:val="left" w:pos="1800"/>
        </w:tabs>
        <w:spacing w:before="332" w:line="316" w:lineRule="exact"/>
        <w:ind w:left="1512"/>
        <w:textAlignment w:val="baseline"/>
        <w:rPr>
          <w:rFonts w:ascii="Arial" w:eastAsia="Arial" w:hAnsi="Arial"/>
          <w:color w:val="000000"/>
          <w:sz w:val="28"/>
        </w:rPr>
      </w:pPr>
      <w:r>
        <w:rPr>
          <w:rFonts w:ascii="Arial" w:eastAsia="Arial" w:hAnsi="Arial"/>
          <w:color w:val="000000"/>
          <w:sz w:val="28"/>
        </w:rPr>
        <w:t>Such persons were of the same sex; or</w:t>
      </w:r>
    </w:p>
    <w:p w14:paraId="245D30EF" w14:textId="50264D22" w:rsidR="002E3FED" w:rsidRDefault="00B72DF5">
      <w:pPr>
        <w:numPr>
          <w:ilvl w:val="0"/>
          <w:numId w:val="1"/>
        </w:numPr>
        <w:tabs>
          <w:tab w:val="clear" w:pos="288"/>
          <w:tab w:val="left" w:pos="1800"/>
        </w:tabs>
        <w:spacing w:before="321" w:after="937" w:line="327" w:lineRule="exact"/>
        <w:ind w:left="1512"/>
        <w:jc w:val="both"/>
        <w:textAlignment w:val="baseline"/>
        <w:rPr>
          <w:rFonts w:ascii="Arial" w:eastAsia="Arial" w:hAnsi="Arial"/>
          <w:color w:val="000000"/>
          <w:spacing w:val="-5"/>
          <w:sz w:val="28"/>
        </w:rPr>
      </w:pPr>
      <w:r>
        <w:rPr>
          <w:rFonts w:ascii="Arial" w:eastAsia="Arial" w:hAnsi="Arial"/>
          <w:color w:val="000000"/>
          <w:spacing w:val="-5"/>
          <w:sz w:val="28"/>
        </w:rPr>
        <w:t>The person who received, agreed to receive</w:t>
      </w:r>
      <w:r w:rsidR="002304E1">
        <w:rPr>
          <w:rFonts w:ascii="Arial" w:eastAsia="Arial" w:hAnsi="Arial"/>
          <w:color w:val="000000"/>
          <w:spacing w:val="-5"/>
          <w:sz w:val="28"/>
        </w:rPr>
        <w:t>,</w:t>
      </w:r>
      <w:r>
        <w:rPr>
          <w:rFonts w:ascii="Arial" w:eastAsia="Arial" w:hAnsi="Arial"/>
          <w:color w:val="000000"/>
          <w:spacing w:val="-5"/>
          <w:sz w:val="28"/>
        </w:rPr>
        <w:t xml:space="preserve"> or solicited a fee was a male and the person who paid or</w:t>
      </w:r>
    </w:p>
    <w:p w14:paraId="245D30F0" w14:textId="77777777" w:rsidR="002E3FED" w:rsidRDefault="00820619">
      <w:pPr>
        <w:spacing w:before="166" w:line="163" w:lineRule="exact"/>
        <w:textAlignment w:val="baseline"/>
        <w:rPr>
          <w:rFonts w:ascii="Arial" w:eastAsia="Arial" w:hAnsi="Arial"/>
          <w:color w:val="000000"/>
          <w:sz w:val="14"/>
        </w:rPr>
      </w:pPr>
      <w:r>
        <w:pict w14:anchorId="245D30FE">
          <v:line id="_x0000_s1028" style="position:absolute;z-index:251656704;mso-position-horizontal-relative:page;mso-position-vertical-relative:page" from="106.9pt,426.95pt" to="252.05pt,426.95pt" strokeweight="1.2pt">
            <w10:wrap anchorx="page" anchory="page"/>
          </v:line>
        </w:pict>
      </w:r>
      <w:r w:rsidR="00B72DF5">
        <w:rPr>
          <w:rFonts w:ascii="Arial" w:eastAsia="Arial" w:hAnsi="Arial"/>
          <w:color w:val="000000"/>
          <w:sz w:val="14"/>
        </w:rPr>
        <w:t>1</w:t>
      </w:r>
    </w:p>
    <w:p w14:paraId="245D30F2" w14:textId="70B52D6F" w:rsidR="002E3FED" w:rsidRDefault="00B72DF5" w:rsidP="002304E1">
      <w:pPr>
        <w:spacing w:before="98" w:line="276" w:lineRule="exact"/>
        <w:ind w:firstLine="288"/>
        <w:jc w:val="both"/>
        <w:textAlignment w:val="baseline"/>
        <w:rPr>
          <w:rFonts w:ascii="Arial" w:eastAsia="Arial" w:hAnsi="Arial"/>
          <w:color w:val="000000"/>
          <w:sz w:val="24"/>
        </w:rPr>
      </w:pPr>
      <w:r>
        <w:rPr>
          <w:rFonts w:ascii="Arial" w:eastAsia="Arial" w:hAnsi="Arial"/>
          <w:color w:val="000000"/>
          <w:spacing w:val="-3"/>
          <w:sz w:val="24"/>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See </w:t>
      </w:r>
      <w:r>
        <w:rPr>
          <w:rFonts w:ascii="Arial" w:eastAsia="Arial" w:hAnsi="Arial"/>
          <w:i/>
          <w:color w:val="000000"/>
          <w:spacing w:val="-3"/>
          <w:sz w:val="24"/>
        </w:rPr>
        <w:t>Prus v. Holder</w:t>
      </w:r>
      <w:r>
        <w:rPr>
          <w:rFonts w:ascii="Arial" w:eastAsia="Arial" w:hAnsi="Arial"/>
          <w:color w:val="000000"/>
          <w:spacing w:val="-3"/>
          <w:sz w:val="24"/>
        </w:rPr>
        <w:t>, 660 F.3d 144 (2d Cir. 2011) (“Although ‘sexual conduct’ is not defined in Article 230, the plain language of the statute makes clear that prostitution in New York encompasses accepting payment for sexual acts beyond . . . “‘sexual intercourse’”).</w:t>
      </w:r>
      <w:r w:rsidR="002304E1">
        <w:rPr>
          <w:rFonts w:ascii="Arial" w:eastAsia="Arial" w:hAnsi="Arial"/>
          <w:color w:val="000000"/>
          <w:spacing w:val="-3"/>
          <w:sz w:val="24"/>
        </w:rPr>
        <w:t xml:space="preserve"> </w:t>
      </w:r>
      <w:r>
        <w:rPr>
          <w:rFonts w:ascii="Arial" w:eastAsia="Arial" w:hAnsi="Arial"/>
          <w:color w:val="000000"/>
          <w:sz w:val="24"/>
        </w:rPr>
        <w:t xml:space="preserve">For New York decisional law interpretations of the term for prostitution, </w:t>
      </w:r>
      <w:r>
        <w:rPr>
          <w:rFonts w:ascii="Arial" w:eastAsia="Arial" w:hAnsi="Arial"/>
          <w:i/>
          <w:color w:val="000000"/>
          <w:sz w:val="24"/>
        </w:rPr>
        <w:t>see In re Marco M</w:t>
      </w:r>
      <w:r>
        <w:rPr>
          <w:rFonts w:ascii="Arial" w:eastAsia="Arial" w:hAnsi="Arial"/>
          <w:color w:val="000000"/>
          <w:sz w:val="24"/>
        </w:rPr>
        <w:t xml:space="preserve">., 158 A.D.2d 342, 342–43 (1990) (the required element of sexual conduct was satisfied where a male agreed to a male officer’s request “to get laid but [not] shortchanged”); </w:t>
      </w:r>
      <w:r>
        <w:rPr>
          <w:rFonts w:ascii="Arial" w:eastAsia="Arial" w:hAnsi="Arial"/>
          <w:i/>
          <w:color w:val="000000"/>
          <w:sz w:val="24"/>
        </w:rPr>
        <w:t xml:space="preserve">People v. Medina, </w:t>
      </w:r>
      <w:r>
        <w:rPr>
          <w:rFonts w:ascii="Arial" w:eastAsia="Arial" w:hAnsi="Arial"/>
          <w:color w:val="000000"/>
          <w:sz w:val="24"/>
        </w:rPr>
        <w:t xml:space="preserve">179 Misc.2d 617 (N.Y. City Crim. Court, 1999) (“sexual conduct” includes a sex act between men); </w:t>
      </w:r>
      <w:r>
        <w:rPr>
          <w:rFonts w:ascii="Arial" w:eastAsia="Arial" w:hAnsi="Arial"/>
          <w:i/>
          <w:color w:val="000000"/>
          <w:sz w:val="24"/>
        </w:rPr>
        <w:t>People v. Hinzmann</w:t>
      </w:r>
      <w:r>
        <w:rPr>
          <w:rFonts w:ascii="Arial" w:eastAsia="Arial" w:hAnsi="Arial"/>
          <w:color w:val="000000"/>
          <w:sz w:val="24"/>
        </w:rPr>
        <w:t xml:space="preserve">, 177 Misc.2d 531 (Criminal Court, Bronx County, 1998) (the term includes “lap dancing” with physical contact); </w:t>
      </w:r>
      <w:r>
        <w:rPr>
          <w:rFonts w:ascii="Arial" w:eastAsia="Arial" w:hAnsi="Arial"/>
          <w:i/>
          <w:color w:val="000000"/>
          <w:sz w:val="24"/>
        </w:rPr>
        <w:t xml:space="preserve">People v. Costello, </w:t>
      </w:r>
      <w:r>
        <w:rPr>
          <w:rFonts w:ascii="Arial" w:eastAsia="Arial" w:hAnsi="Arial"/>
          <w:color w:val="000000"/>
          <w:sz w:val="24"/>
        </w:rPr>
        <w:t xml:space="preserve">90 Misc.2d 431 (Supreme Court, N.Y. County, 1977) </w:t>
      </w:r>
      <w:r>
        <w:rPr>
          <w:rFonts w:ascii="Arial" w:eastAsia="Arial" w:hAnsi="Arial"/>
          <w:i/>
          <w:color w:val="000000"/>
          <w:sz w:val="24"/>
        </w:rPr>
        <w:t>(</w:t>
      </w:r>
      <w:r>
        <w:rPr>
          <w:rFonts w:ascii="Arial" w:eastAsia="Arial" w:hAnsi="Arial"/>
          <w:color w:val="000000"/>
          <w:sz w:val="24"/>
        </w:rPr>
        <w:t xml:space="preserve">the term includes sexual intercourse, oral and anal sexual conduct, and masturbation). </w:t>
      </w:r>
      <w:r>
        <w:rPr>
          <w:rFonts w:ascii="Arial" w:eastAsia="Arial" w:hAnsi="Arial"/>
          <w:i/>
          <w:color w:val="000000"/>
          <w:sz w:val="24"/>
        </w:rPr>
        <w:t xml:space="preserve">But see People v. Greene, </w:t>
      </w:r>
      <w:r>
        <w:rPr>
          <w:rFonts w:ascii="Arial" w:eastAsia="Arial" w:hAnsi="Arial"/>
          <w:color w:val="000000"/>
          <w:sz w:val="24"/>
        </w:rPr>
        <w:t>110 Misc.2d 40 (Criminal Court, N.Y. County, 1981) (the term does not include “autoerotic performance” without physical contact).</w:t>
      </w:r>
    </w:p>
    <w:p w14:paraId="245D30F3" w14:textId="77777777" w:rsidR="002E3FED" w:rsidRDefault="002E3FED">
      <w:pPr>
        <w:sectPr w:rsidR="002E3FED">
          <w:pgSz w:w="12240" w:h="15840"/>
          <w:pgMar w:top="1080" w:right="2142" w:bottom="664" w:left="2138" w:header="720" w:footer="720" w:gutter="0"/>
          <w:cols w:space="720"/>
        </w:sectPr>
      </w:pPr>
    </w:p>
    <w:p w14:paraId="245D30F4" w14:textId="77777777" w:rsidR="002E3FED" w:rsidRDefault="00B72DF5">
      <w:pPr>
        <w:spacing w:before="45" w:after="326" w:line="317" w:lineRule="exact"/>
        <w:textAlignment w:val="baseline"/>
        <w:rPr>
          <w:rFonts w:ascii="Arial" w:eastAsia="Arial" w:hAnsi="Arial"/>
          <w:color w:val="000000"/>
          <w:spacing w:val="-3"/>
          <w:sz w:val="28"/>
        </w:rPr>
      </w:pPr>
      <w:r>
        <w:rPr>
          <w:rFonts w:ascii="Arial" w:eastAsia="Arial" w:hAnsi="Arial"/>
          <w:color w:val="000000"/>
          <w:spacing w:val="-3"/>
          <w:sz w:val="28"/>
        </w:rPr>
        <w:lastRenderedPageBreak/>
        <w:t>agreed or offered to pay such fee was a female.</w:t>
      </w:r>
      <w:r>
        <w:rPr>
          <w:rFonts w:ascii="Arial" w:eastAsia="Arial" w:hAnsi="Arial"/>
          <w:color w:val="000000"/>
          <w:spacing w:val="-3"/>
          <w:sz w:val="28"/>
          <w:vertAlign w:val="superscript"/>
        </w:rPr>
        <w:t>2</w:t>
      </w:r>
      <w:r>
        <w:rPr>
          <w:rFonts w:ascii="Arial" w:eastAsia="Arial" w:hAnsi="Arial"/>
          <w:color w:val="000000"/>
          <w:spacing w:val="-3"/>
          <w:sz w:val="28"/>
        </w:rPr>
        <w:t>]</w:t>
      </w:r>
    </w:p>
    <w:p w14:paraId="245D30F5" w14:textId="77777777" w:rsidR="002E3FED" w:rsidRDefault="002E3FED">
      <w:pPr>
        <w:spacing w:before="45" w:after="326" w:line="317" w:lineRule="exact"/>
        <w:sectPr w:rsidR="002E3FED">
          <w:pgSz w:w="12240" w:h="15840"/>
          <w:pgMar w:top="1040" w:right="2510" w:bottom="664" w:left="3610" w:header="720" w:footer="720" w:gutter="0"/>
          <w:cols w:space="720"/>
        </w:sectPr>
      </w:pPr>
    </w:p>
    <w:p w14:paraId="245D30F6" w14:textId="77777777" w:rsidR="002E3FED" w:rsidRDefault="00B72DF5">
      <w:pPr>
        <w:spacing w:line="322"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of the evidence in the case, beyond a reasonable doubt, the following element:</w:t>
      </w:r>
    </w:p>
    <w:p w14:paraId="245D30F7" w14:textId="77777777" w:rsidR="002E3FED" w:rsidRDefault="00B72DF5">
      <w:pPr>
        <w:spacing w:before="326" w:line="323" w:lineRule="exact"/>
        <w:ind w:left="1440" w:firstLine="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(date)</w:t>
      </w:r>
      <w:r>
        <w:rPr>
          <w:rFonts w:ascii="Arial" w:eastAsia="Arial" w:hAnsi="Arial"/>
          <w:color w:val="000000"/>
          <w:sz w:val="28"/>
        </w:rPr>
        <w:t xml:space="preserve">, in the County of </w:t>
      </w:r>
      <w:r>
        <w:rPr>
          <w:rFonts w:ascii="Arial" w:eastAsia="Arial" w:hAnsi="Arial"/>
          <w:color w:val="000000"/>
          <w:sz w:val="28"/>
          <w:u w:val="single"/>
        </w:rPr>
        <w:t>(County)</w:t>
      </w:r>
      <w:r>
        <w:rPr>
          <w:rFonts w:ascii="Arial" w:eastAsia="Arial" w:hAnsi="Arial"/>
          <w:color w:val="000000"/>
          <w:sz w:val="28"/>
        </w:rPr>
        <w:t xml:space="preserve">, the defendant, </w:t>
      </w:r>
      <w:r>
        <w:rPr>
          <w:rFonts w:ascii="Arial" w:eastAsia="Arial" w:hAnsi="Arial"/>
          <w:color w:val="000000"/>
          <w:sz w:val="28"/>
          <w:u w:val="single"/>
        </w:rPr>
        <w:t xml:space="preserve">(defendant's name),  </w:t>
      </w:r>
      <w:r>
        <w:rPr>
          <w:rFonts w:ascii="Arial" w:eastAsia="Arial" w:hAnsi="Arial"/>
          <w:color w:val="000000"/>
          <w:sz w:val="28"/>
        </w:rPr>
        <w:t>engaged, or agreed or offered to engage, in sexual conduct with another person in return for a fee.</w:t>
      </w:r>
    </w:p>
    <w:p w14:paraId="245D30F8" w14:textId="34378014" w:rsidR="002E3FED" w:rsidRDefault="00B72DF5">
      <w:pPr>
        <w:spacing w:before="327" w:line="321" w:lineRule="exact"/>
        <w:jc w:val="both"/>
        <w:textAlignment w:val="baseline"/>
        <w:rPr>
          <w:rFonts w:ascii="Arial" w:eastAsia="Arial" w:hAnsi="Arial"/>
          <w:i/>
          <w:color w:val="000000"/>
          <w:sz w:val="28"/>
        </w:rPr>
      </w:pPr>
      <w:r>
        <w:rPr>
          <w:rFonts w:ascii="Arial" w:eastAsia="Arial" w:hAnsi="Arial"/>
          <w:i/>
          <w:color w:val="000000"/>
          <w:sz w:val="28"/>
        </w:rPr>
        <w:t xml:space="preserve">[NOTE: If the affirmative defense </w:t>
      </w:r>
      <w:r w:rsidR="00820619">
        <w:rPr>
          <w:rFonts w:ascii="Arial" w:eastAsia="Arial" w:hAnsi="Arial"/>
          <w:i/>
          <w:color w:val="000000"/>
          <w:sz w:val="28"/>
        </w:rPr>
        <w:t xml:space="preserve">set forth in Penal Law § 230.01 </w:t>
      </w:r>
      <w:r>
        <w:rPr>
          <w:rFonts w:ascii="Arial" w:eastAsia="Arial" w:hAnsi="Arial"/>
          <w:i/>
          <w:color w:val="000000"/>
          <w:sz w:val="28"/>
        </w:rPr>
        <w:t>does not apply, conclude as follows:</w:t>
      </w:r>
    </w:p>
    <w:p w14:paraId="245D30F9" w14:textId="77777777" w:rsidR="002E3FED" w:rsidRDefault="00B72DF5">
      <w:pPr>
        <w:spacing w:before="326" w:line="322"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proven that element beyond a reasonable doubt, you must find the defendant guilty of this crime.</w:t>
      </w:r>
    </w:p>
    <w:p w14:paraId="245D30FA" w14:textId="77777777" w:rsidR="002E3FED" w:rsidRDefault="00B72DF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that element beyond a reasonable doubt, you must find the defendant not guilty of this crime.</w:t>
      </w:r>
    </w:p>
    <w:p w14:paraId="245D30FB" w14:textId="0F851136" w:rsidR="002E3FED" w:rsidRDefault="00B72DF5">
      <w:pPr>
        <w:spacing w:before="328" w:after="4844" w:line="321" w:lineRule="exact"/>
        <w:jc w:val="both"/>
        <w:textAlignment w:val="baseline"/>
        <w:rPr>
          <w:rFonts w:ascii="Arial" w:eastAsia="Arial" w:hAnsi="Arial"/>
          <w:i/>
          <w:color w:val="000000"/>
          <w:sz w:val="28"/>
        </w:rPr>
      </w:pPr>
      <w:r>
        <w:rPr>
          <w:rFonts w:ascii="Arial" w:eastAsia="Arial" w:hAnsi="Arial"/>
          <w:i/>
          <w:color w:val="000000"/>
          <w:sz w:val="28"/>
        </w:rPr>
        <w:t xml:space="preserve">[NOTE: If the affirmative defense </w:t>
      </w:r>
      <w:r w:rsidR="00820619">
        <w:rPr>
          <w:rFonts w:ascii="Arial" w:eastAsia="Arial" w:hAnsi="Arial"/>
          <w:i/>
          <w:color w:val="000000"/>
          <w:sz w:val="28"/>
        </w:rPr>
        <w:t xml:space="preserve">set forth in Penal Law § 230.01 </w:t>
      </w:r>
      <w:r>
        <w:rPr>
          <w:rFonts w:ascii="Arial" w:eastAsia="Arial" w:hAnsi="Arial"/>
          <w:i/>
          <w:color w:val="000000"/>
          <w:sz w:val="28"/>
        </w:rPr>
        <w:t>applies, conclude as set forth in the Affirmative Defense charge set forth in the Additional Charges section of these charges on Prostitution.]</w:t>
      </w:r>
    </w:p>
    <w:p w14:paraId="245D30FC" w14:textId="77777777" w:rsidR="002E3FED" w:rsidRDefault="002E3FED">
      <w:pPr>
        <w:spacing w:before="328" w:after="4844" w:line="321" w:lineRule="exact"/>
        <w:sectPr w:rsidR="002E3FED">
          <w:type w:val="continuous"/>
          <w:pgSz w:w="12240" w:h="15840"/>
          <w:pgMar w:top="1040" w:right="2130" w:bottom="664" w:left="2150" w:header="720" w:footer="720" w:gutter="0"/>
          <w:cols w:space="720"/>
        </w:sectPr>
      </w:pPr>
    </w:p>
    <w:p w14:paraId="245D30FD" w14:textId="77777777" w:rsidR="002E3FED" w:rsidRDefault="00820619">
      <w:pPr>
        <w:spacing w:before="258" w:line="276" w:lineRule="exact"/>
        <w:textAlignment w:val="baseline"/>
        <w:rPr>
          <w:rFonts w:ascii="Arial" w:eastAsia="Arial" w:hAnsi="Arial"/>
          <w:color w:val="000000"/>
          <w:sz w:val="14"/>
          <w:vertAlign w:val="superscript"/>
        </w:rPr>
      </w:pPr>
      <w:r>
        <w:pict w14:anchorId="245D3100">
          <v:shapetype id="_x0000_t202" coordsize="21600,21600" o:spt="202" path="m,l,21600r21600,l21600,xe">
            <v:stroke joinstyle="miter"/>
            <v:path gradientshapeok="t" o:connecttype="rect"/>
          </v:shapetype>
          <v:shape id="_x0000_s0" o:spid="_x0000_s1027" type="#_x0000_t202" style="position:absolute;margin-left:299.05pt;margin-top:724.85pt;width:13.4pt;height:13.25pt;z-index:-251658752;mso-wrap-distance-left:0;mso-wrap-distance-right:0;mso-position-horizontal-relative:page;mso-position-vertical-relative:page" filled="f" stroked="f">
            <v:textbox inset="0,0,0,0">
              <w:txbxContent>
                <w:p w14:paraId="245D3102" w14:textId="77777777" w:rsidR="002E3FED" w:rsidRDefault="00B72DF5">
                  <w:pPr>
                    <w:spacing w:line="263" w:lineRule="exact"/>
                    <w:jc w:val="center"/>
                    <w:textAlignment w:val="baseline"/>
                    <w:rPr>
                      <w:rFonts w:eastAsia="Times New Roman"/>
                      <w:color w:val="000000"/>
                      <w:sz w:val="24"/>
                    </w:rPr>
                  </w:pPr>
                  <w:r>
                    <w:rPr>
                      <w:rFonts w:eastAsia="Times New Roman"/>
                      <w:color w:val="000000"/>
                      <w:sz w:val="24"/>
                    </w:rPr>
                    <w:t>2</w:t>
                  </w:r>
                </w:p>
              </w:txbxContent>
            </v:textbox>
            <w10:wrap type="square" anchorx="page" anchory="page"/>
          </v:shape>
        </w:pict>
      </w:r>
      <w:r>
        <w:pict w14:anchorId="245D3101">
          <v:line id="_x0000_s1026" style="position:absolute;z-index:251658752;mso-position-horizontal-relative:page;mso-position-vertical-relative:page" from="107.5pt,685.9pt" to="252.05pt,685.9pt" strokeweight="1.2pt">
            <w10:wrap anchorx="page" anchory="page"/>
          </v:line>
        </w:pict>
      </w:r>
      <w:r w:rsidR="00B72DF5">
        <w:rPr>
          <w:rFonts w:ascii="Arial" w:eastAsia="Arial" w:hAnsi="Arial"/>
          <w:color w:val="000000"/>
          <w:sz w:val="14"/>
          <w:vertAlign w:val="superscript"/>
        </w:rPr>
        <w:t>2</w:t>
      </w:r>
      <w:r w:rsidR="00B72DF5">
        <w:rPr>
          <w:rFonts w:ascii="Arial" w:eastAsia="Arial" w:hAnsi="Arial"/>
          <w:color w:val="000000"/>
          <w:sz w:val="24"/>
        </w:rPr>
        <w:t xml:space="preserve"> Penal Law § 230.10.</w:t>
      </w:r>
    </w:p>
    <w:sectPr w:rsidR="002E3FED">
      <w:type w:val="continuous"/>
      <w:pgSz w:w="12240" w:h="15840"/>
      <w:pgMar w:top="1040" w:right="7200" w:bottom="664"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2E31"/>
    <w:multiLevelType w:val="multilevel"/>
    <w:tmpl w:val="7B922C24"/>
    <w:lvl w:ilvl="0">
      <w:start w:val="1"/>
      <w:numFmt w:val="decimal"/>
      <w:lvlText w:val="%1."/>
      <w:lvlJc w:val="left"/>
      <w:pPr>
        <w:tabs>
          <w:tab w:val="left" w:pos="288"/>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E3FED"/>
    <w:rsid w:val="002304E1"/>
    <w:rsid w:val="002E3FED"/>
    <w:rsid w:val="00436465"/>
    <w:rsid w:val="00820619"/>
    <w:rsid w:val="00B72DF5"/>
    <w:rsid w:val="00E4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5D30E7"/>
  <w15:docId w15:val="{B43233E8-AC9D-4501-AAEF-06251313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6</cp:revision>
  <dcterms:created xsi:type="dcterms:W3CDTF">2020-09-04T16:11:00Z</dcterms:created>
  <dcterms:modified xsi:type="dcterms:W3CDTF">2021-04-24T18:02:00Z</dcterms:modified>
</cp:coreProperties>
</file>