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METHAMPHETAMINE</w:t>
        <w:br/>
      </w:r>
      <w:r>
        <w:rPr>
          <w:rFonts w:ascii="Arial" w:hAnsi="Arial" w:eastAsia="Arial"/>
          <w:b w:val="true"/>
          <w:color w:val="000000"/>
          <w:spacing w:val="0"/>
          <w:w w:val="100"/>
          <w:sz w:val="28"/>
          <w:vertAlign w:val="baseline"/>
          <w:lang w:val="en-US"/>
        </w:rPr>
        <w:t xml:space="preserve">MANUFACTURING MATERIAL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(Prior Conviction)</w:t>
        <w:br/>
      </w:r>
      <w:r>
        <w:rPr>
          <w:rFonts w:ascii="Arial" w:hAnsi="Arial" w:eastAsia="Arial"/>
          <w:b w:val="true"/>
          <w:color w:val="000000"/>
          <w:spacing w:val="0"/>
          <w:w w:val="100"/>
          <w:sz w:val="28"/>
          <w:vertAlign w:val="baseline"/>
          <w:lang w:val="en-US"/>
        </w:rPr>
        <w:t xml:space="preserve">Penal Law § 220.71</w:t>
        <w:br/>
      </w:r>
      <w:r>
        <w:rPr>
          <w:rFonts w:ascii="Arial" w:hAnsi="Arial" w:eastAsia="Arial"/>
          <w:b w:val="true"/>
          <w:color w:val="000000"/>
          <w:spacing w:val="0"/>
          <w:w w:val="100"/>
          <w:sz w:val="28"/>
          <w:vertAlign w:val="baseline"/>
          <w:lang w:val="en-US"/>
        </w:rPr>
        <w:t xml:space="preserve">(Committed on or after Oct. 1, 2005)</w:t>
      </w:r>
    </w:p>
    <w:p>
      <w:pPr>
        <w:pageBreakBefore w:val="false"/>
        <w:spacing w:before="317"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No charge has been prepared for this offense, which elevates the second degree crime to a felony when the defendant "has previously been convicted within the preceding five years of criminal possession of methamphetamine manufacturing material in the second degree, as defined in section 220.70 of this article, or a violation of this section."</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aggravating element must be charged in a special information, and after the commencement of trial the defendant must be arraigned on the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CPL § 200.60.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basic charge, see the charge for Criminal Possession of Methamphetamine Manufacturing Material in the Second Degree, Penal Law § 220.70.</w:t>
      </w:r>
    </w:p>
    <w:sectPr>
      <w:type w:val="nextPage"/>
      <w:pgSz w:w="12240" w:h="15840" w:orient="portrait"/>
      <w:pgMar w:bottom="518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