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8D25" w14:textId="77777777" w:rsidR="00F96010" w:rsidRDefault="003A308D">
      <w:pPr>
        <w:spacing w:before="1"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A CONTROLLED SUBSTANCE </w:t>
      </w:r>
      <w:r>
        <w:rPr>
          <w:rFonts w:ascii="Arial" w:eastAsia="Arial" w:hAnsi="Arial"/>
          <w:b/>
          <w:color w:val="000000"/>
          <w:sz w:val="28"/>
        </w:rPr>
        <w:br/>
        <w:t xml:space="preserve">IN THE THIRD DEGREE </w:t>
      </w:r>
      <w:r>
        <w:rPr>
          <w:rFonts w:ascii="Arial" w:eastAsia="Arial" w:hAnsi="Arial"/>
          <w:b/>
          <w:color w:val="000000"/>
          <w:sz w:val="28"/>
        </w:rPr>
        <w:br/>
        <w:t xml:space="preserve">(Sale of a Narcotic Preparation </w:t>
      </w:r>
      <w:r>
        <w:rPr>
          <w:rFonts w:ascii="Arial" w:eastAsia="Arial" w:hAnsi="Arial"/>
          <w:b/>
          <w:color w:val="000000"/>
          <w:sz w:val="28"/>
        </w:rPr>
        <w:br/>
        <w:t xml:space="preserve">to a Person Less Than 21 Years Old) </w:t>
      </w:r>
      <w:r>
        <w:rPr>
          <w:rFonts w:ascii="Arial" w:eastAsia="Arial" w:hAnsi="Arial"/>
          <w:b/>
          <w:color w:val="000000"/>
          <w:sz w:val="28"/>
        </w:rPr>
        <w:br/>
        <w:t xml:space="preserve">Penal Law § 220.39(9) </w:t>
      </w:r>
      <w:r>
        <w:rPr>
          <w:rFonts w:ascii="Arial" w:eastAsia="Arial" w:hAnsi="Arial"/>
          <w:b/>
          <w:color w:val="000000"/>
          <w:sz w:val="28"/>
        </w:rPr>
        <w:br/>
        <w:t xml:space="preserve">(Committed on or after Sept. 1, 1979) </w:t>
      </w:r>
      <w:r>
        <w:rPr>
          <w:rFonts w:ascii="Arial" w:eastAsia="Arial" w:hAnsi="Arial"/>
          <w:b/>
          <w:color w:val="000000"/>
          <w:sz w:val="28"/>
        </w:rPr>
        <w:br/>
        <w:t>(Revised April 4, 2003)</w:t>
      </w:r>
      <w:r>
        <w:rPr>
          <w:rFonts w:ascii="Arial" w:eastAsia="Arial" w:hAnsi="Arial"/>
          <w:color w:val="000000"/>
          <w:sz w:val="28"/>
          <w:vertAlign w:val="superscript"/>
        </w:rPr>
        <w:t>1</w:t>
      </w:r>
      <w:r>
        <w:rPr>
          <w:rFonts w:ascii="Arial" w:eastAsia="Arial" w:hAnsi="Arial"/>
          <w:color w:val="000000"/>
          <w:sz w:val="17"/>
        </w:rPr>
        <w:t xml:space="preserve"> </w:t>
      </w:r>
    </w:p>
    <w:p w14:paraId="047F8D26" w14:textId="77777777" w:rsidR="00F96010" w:rsidRDefault="003A308D">
      <w:pPr>
        <w:spacing w:before="328" w:line="324"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Third Degree.</w:t>
      </w:r>
    </w:p>
    <w:p w14:paraId="047F8D27" w14:textId="77777777" w:rsidR="00F96010" w:rsidRDefault="003A308D">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Sale of a Controlled Substance in the Third Degree when that person knowingly and unlawfully sells a narcotic preparation to a person less than twenty-one years old.</w:t>
      </w:r>
    </w:p>
    <w:p w14:paraId="047F8D28" w14:textId="77777777" w:rsidR="00F96010" w:rsidRDefault="003A308D">
      <w:pPr>
        <w:spacing w:before="158"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047F8D29" w14:textId="77777777" w:rsidR="00F96010" w:rsidRDefault="003A308D">
      <w:pPr>
        <w:spacing w:before="163" w:line="324" w:lineRule="exact"/>
        <w:ind w:left="720"/>
        <w:textAlignment w:val="baseline"/>
        <w:rPr>
          <w:rFonts w:ascii="Arial" w:eastAsia="Arial" w:hAnsi="Arial"/>
          <w:color w:val="000000"/>
          <w:spacing w:val="-1"/>
          <w:sz w:val="28"/>
        </w:rPr>
      </w:pPr>
      <w:r>
        <w:rPr>
          <w:rFonts w:ascii="Arial" w:eastAsia="Arial" w:hAnsi="Arial"/>
          <w:color w:val="000000"/>
          <w:spacing w:val="-1"/>
          <w:sz w:val="28"/>
        </w:rPr>
        <w:t xml:space="preserve">The term NARCOTIC PREPARATION includes </w:t>
      </w:r>
      <w:r>
        <w:rPr>
          <w:rFonts w:ascii="Arial" w:eastAsia="Arial" w:hAnsi="Arial"/>
          <w:i/>
          <w:color w:val="000000"/>
          <w:spacing w:val="-1"/>
          <w:sz w:val="23"/>
          <w:u w:val="single"/>
        </w:rPr>
        <w:t xml:space="preserve"> (specify) </w:t>
      </w:r>
      <w:r>
        <w:rPr>
          <w:rFonts w:ascii="Arial" w:eastAsia="Arial" w:hAnsi="Arial"/>
          <w:color w:val="000000"/>
          <w:spacing w:val="-1"/>
          <w:sz w:val="28"/>
        </w:rPr>
        <w:t xml:space="preserve"> .</w:t>
      </w:r>
      <w:r>
        <w:rPr>
          <w:rFonts w:ascii="Arial" w:eastAsia="Arial" w:hAnsi="Arial"/>
          <w:color w:val="000000"/>
          <w:spacing w:val="-1"/>
          <w:sz w:val="17"/>
        </w:rPr>
        <w:t>2</w:t>
      </w:r>
    </w:p>
    <w:p w14:paraId="047F8D2A" w14:textId="77777777" w:rsidR="00F96010" w:rsidRDefault="003A308D">
      <w:pPr>
        <w:spacing w:before="329" w:line="324"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047F8D2B" w14:textId="77777777" w:rsidR="00F96010" w:rsidRDefault="003A308D">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t>[Sell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w:t>
      </w:r>
      <w:r>
        <w:rPr>
          <w:rFonts w:ascii="Arial" w:eastAsia="Arial" w:hAnsi="Arial"/>
          <w:color w:val="000000"/>
          <w:sz w:val="28"/>
          <w:vertAlign w:val="superscript"/>
        </w:rPr>
        <w:t>3</w:t>
      </w:r>
      <w:r>
        <w:rPr>
          <w:rFonts w:ascii="Arial" w:eastAsia="Arial" w:hAnsi="Arial"/>
          <w:color w:val="000000"/>
          <w:sz w:val="17"/>
        </w:rPr>
        <w:t xml:space="preserve"> </w:t>
      </w:r>
    </w:p>
    <w:p w14:paraId="047F8D2C" w14:textId="77777777" w:rsidR="00F96010" w:rsidRDefault="003A308D">
      <w:pPr>
        <w:spacing w:before="327" w:after="988"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is aware that he or she is selling a substance which contains</w:t>
      </w:r>
    </w:p>
    <w:p w14:paraId="047F8D2D" w14:textId="4C0A8826" w:rsidR="00F96010" w:rsidRDefault="00444919">
      <w:pPr>
        <w:spacing w:before="259" w:line="275" w:lineRule="exact"/>
        <w:jc w:val="both"/>
        <w:textAlignment w:val="baseline"/>
        <w:rPr>
          <w:rFonts w:ascii="Arial" w:eastAsia="Arial" w:hAnsi="Arial"/>
          <w:color w:val="000000"/>
          <w:sz w:val="14"/>
          <w:vertAlign w:val="superscript"/>
        </w:rPr>
      </w:pPr>
      <w:r>
        <w:pict w14:anchorId="047F8D3D">
          <v:line id="_x0000_s1027" style="position:absolute;left:0;text-align:left;z-index:251657216;mso-position-horizontal-relative:page;mso-position-vertical-relative:page" from="108pt,627.6pt" to="252.05pt,627.6pt" strokeweight=".95pt">
            <w10:wrap anchorx="page" anchory="page"/>
          </v:line>
        </w:pict>
      </w:r>
      <w:r w:rsidR="003A308D">
        <w:rPr>
          <w:rFonts w:ascii="Arial" w:eastAsia="Arial" w:hAnsi="Arial"/>
          <w:color w:val="000000"/>
          <w:sz w:val="14"/>
          <w:vertAlign w:val="superscript"/>
        </w:rPr>
        <w:t>1</w:t>
      </w:r>
      <w:r w:rsidR="003A308D">
        <w:rPr>
          <w:rFonts w:ascii="Arial" w:eastAsia="Arial" w:hAnsi="Arial"/>
          <w:color w:val="000000"/>
          <w:sz w:val="24"/>
        </w:rPr>
        <w:t xml:space="preserve"> The revision was for the purpose </w:t>
      </w:r>
      <w:r w:rsidR="007303A9">
        <w:rPr>
          <w:rFonts w:ascii="Arial" w:eastAsia="Arial" w:hAnsi="Arial"/>
          <w:color w:val="000000"/>
          <w:sz w:val="24"/>
        </w:rPr>
        <w:t>of expanding the definition of the term “sell”</w:t>
      </w:r>
      <w:r w:rsidR="003A308D">
        <w:rPr>
          <w:rFonts w:ascii="Arial" w:eastAsia="Arial" w:hAnsi="Arial"/>
          <w:color w:val="000000"/>
          <w:sz w:val="24"/>
        </w:rPr>
        <w:t>” as it applie</w:t>
      </w:r>
      <w:r>
        <w:rPr>
          <w:rFonts w:ascii="Arial" w:eastAsia="Arial" w:hAnsi="Arial"/>
          <w:color w:val="000000"/>
          <w:sz w:val="24"/>
        </w:rPr>
        <w:t>s</w:t>
      </w:r>
      <w:r w:rsidR="003A308D">
        <w:rPr>
          <w:rFonts w:ascii="Arial" w:eastAsia="Arial" w:hAnsi="Arial"/>
          <w:color w:val="000000"/>
          <w:sz w:val="24"/>
        </w:rPr>
        <w:t xml:space="preserve"> to an offer or agreement to sell.</w:t>
      </w:r>
    </w:p>
    <w:p w14:paraId="047F8D2E" w14:textId="77777777" w:rsidR="00F96010" w:rsidRDefault="003A308D">
      <w:pPr>
        <w:spacing w:before="240" w:line="274"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2</w:t>
      </w:r>
      <w:r>
        <w:rPr>
          <w:rFonts w:ascii="Arial" w:eastAsia="Arial" w:hAnsi="Arial"/>
          <w:i/>
          <w:color w:val="000000"/>
          <w:spacing w:val="2"/>
          <w:sz w:val="24"/>
        </w:rPr>
        <w:t xml:space="preserve"> See </w:t>
      </w:r>
      <w:r>
        <w:rPr>
          <w:rFonts w:ascii="Arial" w:eastAsia="Arial" w:hAnsi="Arial"/>
          <w:color w:val="000000"/>
          <w:spacing w:val="2"/>
          <w:sz w:val="24"/>
        </w:rPr>
        <w:t>Penal Law § 220.00(8).</w:t>
      </w:r>
    </w:p>
    <w:p w14:paraId="047F8D2F" w14:textId="58492E4F" w:rsidR="00F96010" w:rsidRDefault="003A308D">
      <w:pPr>
        <w:spacing w:before="248" w:line="297"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3</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 N.Y.2d 20 (2002).</w:t>
      </w:r>
    </w:p>
    <w:p w14:paraId="047F8D30" w14:textId="77777777" w:rsidR="00F96010" w:rsidRDefault="00F96010">
      <w:pPr>
        <w:sectPr w:rsidR="00F96010">
          <w:pgSz w:w="12240" w:h="15840"/>
          <w:pgMar w:top="1440" w:right="2140" w:bottom="984" w:left="2160" w:header="720" w:footer="720" w:gutter="0"/>
          <w:cols w:space="720"/>
        </w:sectPr>
      </w:pPr>
    </w:p>
    <w:p w14:paraId="047F8D31" w14:textId="77777777" w:rsidR="00F96010" w:rsidRDefault="003A308D">
      <w:pPr>
        <w:spacing w:before="216" w:line="326" w:lineRule="exact"/>
        <w:jc w:val="both"/>
        <w:textAlignment w:val="baseline"/>
        <w:rPr>
          <w:rFonts w:ascii="Arial" w:eastAsia="Arial" w:hAnsi="Arial"/>
          <w:i/>
          <w:color w:val="000000"/>
          <w:sz w:val="23"/>
          <w:u w:val="single"/>
        </w:rPr>
      </w:pPr>
      <w:r>
        <w:rPr>
          <w:rFonts w:ascii="Arial" w:eastAsia="Arial" w:hAnsi="Arial"/>
          <w:i/>
          <w:color w:val="000000"/>
          <w:sz w:val="23"/>
          <w:u w:val="single"/>
        </w:rPr>
        <w:lastRenderedPageBreak/>
        <w:t>(specify)</w:t>
      </w:r>
      <w:r>
        <w:rPr>
          <w:rFonts w:ascii="Arial" w:eastAsia="Arial" w:hAnsi="Arial"/>
          <w:color w:val="000000"/>
          <w:sz w:val="28"/>
        </w:rPr>
        <w:t>.</w:t>
      </w:r>
      <w:r>
        <w:rPr>
          <w:rFonts w:ascii="Arial" w:eastAsia="Arial" w:hAnsi="Arial"/>
          <w:color w:val="000000"/>
          <w:sz w:val="28"/>
          <w:vertAlign w:val="superscript"/>
        </w:rPr>
        <w:t>4</w:t>
      </w:r>
      <w:r>
        <w:rPr>
          <w:rFonts w:ascii="Arial" w:eastAsia="Arial" w:hAnsi="Arial"/>
          <w:color w:val="000000"/>
          <w:sz w:val="28"/>
        </w:rPr>
        <w:t xml:space="preserve"> For this charge, the People need not prove that the defendant was aware that the person to whom the </w:t>
      </w:r>
      <w:r>
        <w:rPr>
          <w:rFonts w:ascii="Arial" w:eastAsia="Arial" w:hAnsi="Arial"/>
          <w:i/>
          <w:color w:val="000000"/>
          <w:sz w:val="23"/>
          <w:u w:val="single"/>
        </w:rPr>
        <w:t xml:space="preserve"> (specify) </w:t>
      </w:r>
      <w:r>
        <w:rPr>
          <w:rFonts w:ascii="Arial" w:eastAsia="Arial" w:hAnsi="Arial"/>
          <w:color w:val="000000"/>
          <w:sz w:val="28"/>
        </w:rPr>
        <w:t xml:space="preserve"> was sold was less than twenty-one years old.</w:t>
      </w:r>
      <w:r>
        <w:rPr>
          <w:rFonts w:ascii="Arial" w:eastAsia="Arial" w:hAnsi="Arial"/>
          <w:color w:val="000000"/>
          <w:sz w:val="28"/>
          <w:vertAlign w:val="superscript"/>
        </w:rPr>
        <w:t>5</w:t>
      </w:r>
      <w:r>
        <w:rPr>
          <w:rFonts w:ascii="Arial" w:eastAsia="Arial" w:hAnsi="Arial"/>
          <w:color w:val="000000"/>
          <w:sz w:val="17"/>
        </w:rPr>
        <w:t xml:space="preserve"> </w:t>
      </w:r>
    </w:p>
    <w:p w14:paraId="047F8D32" w14:textId="77777777" w:rsidR="00F96010" w:rsidRDefault="003A308D">
      <w:pPr>
        <w:spacing w:before="329"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UNLAWFULLY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has no legal right to sell it.</w:t>
      </w:r>
      <w:r>
        <w:rPr>
          <w:rFonts w:ascii="Arial" w:eastAsia="Arial" w:hAnsi="Arial"/>
          <w:color w:val="000000"/>
          <w:sz w:val="28"/>
          <w:vertAlign w:val="superscript"/>
        </w:rPr>
        <w:t>6</w:t>
      </w:r>
      <w:r>
        <w:rPr>
          <w:rFonts w:ascii="Arial" w:eastAsia="Arial" w:hAnsi="Arial"/>
          <w:color w:val="000000"/>
          <w:sz w:val="28"/>
        </w:rPr>
        <w:t xml:space="preserve"> Under our law, with certain exceptions not applicable here, a person has no legal right to sell </w:t>
      </w:r>
      <w:r>
        <w:rPr>
          <w:rFonts w:ascii="Arial" w:eastAsia="Arial" w:hAnsi="Arial"/>
          <w:i/>
          <w:color w:val="000000"/>
          <w:sz w:val="23"/>
          <w:u w:val="single"/>
        </w:rPr>
        <w:t xml:space="preserve">(specify) </w:t>
      </w:r>
      <w:r>
        <w:rPr>
          <w:rFonts w:ascii="Arial" w:eastAsia="Arial" w:hAnsi="Arial"/>
          <w:color w:val="000000"/>
          <w:sz w:val="28"/>
        </w:rPr>
        <w:t xml:space="preserve"> .</w:t>
      </w:r>
    </w:p>
    <w:p w14:paraId="047F8D33" w14:textId="77777777" w:rsidR="00F96010" w:rsidRDefault="003A308D">
      <w:pPr>
        <w:spacing w:before="324"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three elements:</w:t>
      </w:r>
    </w:p>
    <w:p w14:paraId="047F8D34" w14:textId="77777777" w:rsidR="00F96010" w:rsidRDefault="003A308D">
      <w:pPr>
        <w:numPr>
          <w:ilvl w:val="0"/>
          <w:numId w:val="1"/>
        </w:numPr>
        <w:tabs>
          <w:tab w:val="clear" w:pos="720"/>
          <w:tab w:val="left" w:pos="1440"/>
        </w:tabs>
        <w:spacing w:before="327" w:line="321"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w:t>
      </w:r>
      <w:r>
        <w:rPr>
          <w:rFonts w:ascii="Arial" w:eastAsia="Arial" w:hAnsi="Arial"/>
          <w:color w:val="000000"/>
          <w:sz w:val="28"/>
        </w:rPr>
        <w:t xml:space="preserve">, the defendant, </w:t>
      </w:r>
      <w:r>
        <w:rPr>
          <w:rFonts w:ascii="Arial" w:eastAsia="Arial" w:hAnsi="Arial"/>
          <w:i/>
          <w:color w:val="000000"/>
          <w:sz w:val="23"/>
          <w:u w:val="single"/>
        </w:rPr>
        <w:t xml:space="preserve"> (defendant's name) </w:t>
      </w:r>
      <w:r>
        <w:rPr>
          <w:rFonts w:ascii="Arial" w:eastAsia="Arial" w:hAnsi="Arial"/>
          <w:color w:val="000000"/>
          <w:sz w:val="28"/>
        </w:rPr>
        <w:t xml:space="preserve"> , sold </w:t>
      </w:r>
      <w:r>
        <w:rPr>
          <w:rFonts w:ascii="Arial" w:eastAsia="Arial" w:hAnsi="Arial"/>
          <w:i/>
          <w:color w:val="000000"/>
          <w:sz w:val="23"/>
          <w:u w:val="single"/>
        </w:rPr>
        <w:t xml:space="preserve"> (specify) </w:t>
      </w:r>
      <w:r>
        <w:rPr>
          <w:rFonts w:ascii="Arial" w:eastAsia="Arial" w:hAnsi="Arial"/>
          <w:color w:val="000000"/>
          <w:sz w:val="28"/>
        </w:rPr>
        <w:t xml:space="preserve"> ;</w:t>
      </w:r>
    </w:p>
    <w:p w14:paraId="047F8D35" w14:textId="77777777" w:rsidR="00F96010" w:rsidRDefault="003A308D">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 and</w:t>
      </w:r>
    </w:p>
    <w:p w14:paraId="047F8D36" w14:textId="77777777" w:rsidR="00F96010" w:rsidRDefault="003A308D">
      <w:pPr>
        <w:numPr>
          <w:ilvl w:val="0"/>
          <w:numId w:val="1"/>
        </w:numPr>
        <w:tabs>
          <w:tab w:val="clear" w:pos="720"/>
          <w:tab w:val="left" w:pos="1440"/>
        </w:tabs>
        <w:spacing w:before="327" w:line="321"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the person to whom the </w:t>
      </w:r>
      <w:r>
        <w:rPr>
          <w:rFonts w:ascii="Arial" w:eastAsia="Arial" w:hAnsi="Arial"/>
          <w:i/>
          <w:color w:val="000000"/>
          <w:sz w:val="23"/>
          <w:u w:val="single"/>
        </w:rPr>
        <w:t>(specify)</w:t>
      </w:r>
      <w:r>
        <w:rPr>
          <w:rFonts w:ascii="Arial" w:eastAsia="Arial" w:hAnsi="Arial"/>
          <w:color w:val="000000"/>
          <w:sz w:val="28"/>
        </w:rPr>
        <w:t xml:space="preserve"> was sold was less than twenty-one years of age.</w:t>
      </w:r>
    </w:p>
    <w:p w14:paraId="047F8D37" w14:textId="77777777" w:rsidR="00F96010" w:rsidRDefault="003A308D">
      <w:pPr>
        <w:spacing w:before="333"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047F8D38" w14:textId="77777777" w:rsidR="00F96010" w:rsidRDefault="003A308D">
      <w:pPr>
        <w:spacing w:before="333" w:after="1173"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047F8D39" w14:textId="77777777" w:rsidR="00F96010" w:rsidRDefault="00444919">
      <w:pPr>
        <w:spacing w:before="254" w:line="281" w:lineRule="exact"/>
        <w:jc w:val="both"/>
        <w:textAlignment w:val="baseline"/>
        <w:rPr>
          <w:rFonts w:ascii="Arial" w:eastAsia="Arial" w:hAnsi="Arial"/>
          <w:color w:val="000000"/>
          <w:sz w:val="14"/>
          <w:vertAlign w:val="superscript"/>
        </w:rPr>
      </w:pPr>
      <w:r>
        <w:pict w14:anchorId="047F8D3E">
          <v:line id="_x0000_s1026" style="position:absolute;left:0;text-align:left;z-index:251658240;mso-position-horizontal-relative:page;mso-position-vertical-relative:page" from="107.65pt,601.45pt" to="252.05pt,601.45pt" strokeweight="1.2pt">
            <w10:wrap anchorx="page" anchory="page"/>
          </v:line>
        </w:pict>
      </w:r>
      <w:r w:rsidR="003A308D">
        <w:rPr>
          <w:rFonts w:ascii="Arial" w:eastAsia="Arial" w:hAnsi="Arial"/>
          <w:color w:val="000000"/>
          <w:sz w:val="14"/>
          <w:vertAlign w:val="superscript"/>
        </w:rPr>
        <w:t>4</w:t>
      </w:r>
      <w:r w:rsidR="003A308D">
        <w:rPr>
          <w:rFonts w:ascii="Arial" w:eastAsia="Arial" w:hAnsi="Arial"/>
          <w:i/>
          <w:color w:val="000000"/>
          <w:sz w:val="24"/>
        </w:rPr>
        <w:t xml:space="preserve"> See </w:t>
      </w:r>
      <w:r w:rsidR="003A308D">
        <w:rPr>
          <w:rFonts w:ascii="Arial" w:eastAsia="Arial" w:hAnsi="Arial"/>
          <w:color w:val="000000"/>
          <w:sz w:val="24"/>
        </w:rPr>
        <w:t>Penal Law § 15.05(2). An expanded definition of “knowingly” is available in the General Charges section under Culpable Mental States.</w:t>
      </w:r>
    </w:p>
    <w:p w14:paraId="047F8D3A" w14:textId="77777777" w:rsidR="00F96010" w:rsidRDefault="003A308D">
      <w:pPr>
        <w:spacing w:before="239" w:line="274"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15.20(3).</w:t>
      </w:r>
    </w:p>
    <w:p w14:paraId="047F8D3B" w14:textId="77777777" w:rsidR="00F96010" w:rsidRDefault="003A308D">
      <w:pPr>
        <w:spacing w:before="247" w:line="274"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i/>
          <w:color w:val="000000"/>
          <w:sz w:val="24"/>
        </w:rPr>
        <w:t xml:space="preserve"> See </w:t>
      </w:r>
      <w:r>
        <w:rPr>
          <w:rFonts w:ascii="Arial" w:eastAsia="Arial" w:hAnsi="Arial"/>
          <w:color w:val="000000"/>
          <w:sz w:val="24"/>
        </w:rPr>
        <w:t>Penal Law § 220.00(2) and Public Health Law § 3396(1).</w:t>
      </w:r>
    </w:p>
    <w:p w14:paraId="047F8D3C" w14:textId="77777777" w:rsidR="00F96010" w:rsidRDefault="003A308D">
      <w:pPr>
        <w:spacing w:before="248" w:line="297" w:lineRule="exact"/>
        <w:jc w:val="center"/>
        <w:textAlignment w:val="baseline"/>
        <w:rPr>
          <w:rFonts w:ascii="Arial" w:eastAsia="Arial" w:hAnsi="Arial"/>
          <w:color w:val="000000"/>
          <w:sz w:val="26"/>
        </w:rPr>
      </w:pPr>
      <w:r>
        <w:rPr>
          <w:rFonts w:ascii="Arial" w:eastAsia="Arial" w:hAnsi="Arial"/>
          <w:color w:val="000000"/>
          <w:sz w:val="26"/>
        </w:rPr>
        <w:t>2</w:t>
      </w:r>
    </w:p>
    <w:sectPr w:rsidR="00F96010">
      <w:pgSz w:w="12240" w:h="15840"/>
      <w:pgMar w:top="1220" w:right="2147" w:bottom="1024" w:left="2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60F03"/>
    <w:multiLevelType w:val="multilevel"/>
    <w:tmpl w:val="29F2888C"/>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96010"/>
    <w:rsid w:val="003A308D"/>
    <w:rsid w:val="00444919"/>
    <w:rsid w:val="007303A9"/>
    <w:rsid w:val="00F9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7F8D25"/>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4</cp:revision>
  <dcterms:created xsi:type="dcterms:W3CDTF">2020-12-27T20:13:00Z</dcterms:created>
  <dcterms:modified xsi:type="dcterms:W3CDTF">2020-12-28T18:59:00Z</dcterms:modified>
</cp:coreProperties>
</file>