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8" w:after="0" w:line="320"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ABSCONDING FROM A FURLOUGH PROGRAM</w:t>
      </w:r>
    </w:p>
    <w:p>
      <w:pPr>
        <w:pageBreakBefore w:val="false"/>
        <w:spacing w:before="93" w:after="0" w:line="320" w:lineRule="exact"/>
        <w:ind w:right="0" w:left="0" w:firstLine="0"/>
        <w:jc w:val="center"/>
        <w:textAlignment w:val="baseline"/>
        <w:rPr>
          <w:rFonts w:ascii="Arial" w:hAnsi="Arial" w:eastAsia="Arial"/>
          <w:b w:val="true"/>
          <w:strike w:val="false"/>
          <w:color w:val="000000"/>
          <w:spacing w:val="3"/>
          <w:w w:val="100"/>
          <w:sz w:val="28"/>
          <w:vertAlign w:val="baseline"/>
          <w:lang w:val="en-US"/>
        </w:rPr>
      </w:pPr>
      <w:r>
        <w:rPr>
          <w:rFonts w:ascii="Arial" w:hAnsi="Arial" w:eastAsia="Arial"/>
          <w:b w:val="true"/>
          <w:strike w:val="false"/>
          <w:color w:val="000000"/>
          <w:spacing w:val="3"/>
          <w:w w:val="100"/>
          <w:sz w:val="28"/>
          <w:vertAlign w:val="baseline"/>
          <w:lang w:val="en-US"/>
        </w:rPr>
        <w:t xml:space="preserve">Penal Law § 205.18</w:t>
      </w:r>
    </w:p>
    <w:p>
      <w:pPr>
        <w:pageBreakBefore w:val="false"/>
        <w:spacing w:before="97" w:after="0" w:line="320"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June 8, 1972)</w:t>
      </w:r>
    </w:p>
    <w:p>
      <w:pPr>
        <w:pageBreakBefore w:val="false"/>
        <w:spacing w:before="408" w:after="0" w:line="40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Absconding From a Furlough Program.</w:t>
      </w:r>
    </w:p>
    <w:p>
      <w:pPr>
        <w:pageBreakBefore w:val="false"/>
        <w:spacing w:before="407" w:after="0" w:line="40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Absconding From a Furlough Program when, having been released from confinement in an institution under the jurisdiction of the commissioner of correction</w:t>
      </w:r>
      <w:r>
        <w:rPr>
          <w:rFonts w:ascii="Arial" w:hAnsi="Arial" w:eastAsia="Arial"/>
          <w:strike w:val="false"/>
          <w:color w:val="000000"/>
          <w:spacing w:val="-3"/>
          <w:w w:val="100"/>
          <w:sz w:val="28"/>
          <w:vertAlign w:val="superscript"/>
          <w:lang w:val="en-US"/>
        </w:rPr>
        <w:t xml:space="preserve">1</w:t>
      </w:r>
      <w:r>
        <w:rPr>
          <w:rFonts w:ascii="Arial" w:hAnsi="Arial" w:eastAsia="Arial"/>
          <w:strike w:val="false"/>
          <w:color w:val="000000"/>
          <w:spacing w:val="-3"/>
          <w:w w:val="100"/>
          <w:sz w:val="28"/>
          <w:vertAlign w:val="baseline"/>
          <w:lang w:val="en-US"/>
        </w:rPr>
        <w:t xml:space="preserve"> to participate in a furlough program, he or she intentionally fails to return to the institution of his or her confinement at or before the time prescribed for his or her return.</w:t>
      </w:r>
    </w:p>
    <w:p>
      <w:pPr>
        <w:pageBreakBefore w:val="false"/>
        <w:spacing w:before="400" w:after="0" w:line="40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97" w:after="1451" w:line="40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 FURLOUGH PROGRAM is a program under which eligible inmates may be granted the privilege of leaving the premises of an institution for a period not exceeding seven days for the purpose of seeking employment, maintaining family ties, solving family problems, seeking post-release housing, attending a short-term educational or vocational training course, or for any matter necessary to the furtherance of any such purposes. </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17"/>
          <w:vertAlign w:val="baseline"/>
          <w:lang w:val="en-US"/>
        </w:rPr>
        <w:t xml:space="preserve">
</w:t>
      </w:r>
    </w:p>
    <w:p>
      <w:pPr>
        <w:pageBreakBefore w:val="false"/>
        <w:spacing w:before="185" w:after="0" w:line="373" w:lineRule="exact"/>
        <w:ind w:right="0" w:left="0" w:firstLine="720"/>
        <w:jc w:val="both"/>
        <w:textAlignment w:val="baseline"/>
        <w:rPr>
          <w:rFonts w:ascii="Arial" w:hAnsi="Arial" w:eastAsia="Arial"/>
          <w:strike w:val="false"/>
          <w:color w:val="000000"/>
          <w:spacing w:val="0"/>
          <w:w w:val="100"/>
          <w:sz w:val="16"/>
          <w:vertAlign w:val="superscript"/>
          <w:lang w:val="en-US"/>
        </w:rPr>
      </w:pPr>
      <w:r>
        <w:pict>
          <v:line strokeweight="0.95pt" strokecolor="#000000" from="108pt,629.05pt" to="252.05pt,629.0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strike w:val="false"/>
          <w:color w:val="000000"/>
          <w:spacing w:val="0"/>
          <w:w w:val="100"/>
          <w:sz w:val="26"/>
          <w:vertAlign w:val="baseline"/>
          <w:lang w:val="en-US"/>
        </w:rPr>
        <w:t xml:space="preserve"> At this point, the charge omits the statutory language: “in a city having a population of one million or more or of a county which elects to have this article apply thereto.”</w:t>
      </w:r>
    </w:p>
    <w:p>
      <w:pPr>
        <w:pageBreakBefore w:val="false"/>
        <w:spacing w:before="235" w:after="0" w:line="297" w:lineRule="exact"/>
        <w:ind w:right="0" w:left="720" w:firstLine="0"/>
        <w:jc w:val="left"/>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2</w:t>
      </w:r>
      <w:r>
        <w:rPr>
          <w:rFonts w:ascii="Arial" w:hAnsi="Arial" w:eastAsia="Arial"/>
          <w:i w:val="true"/>
          <w:strike w:val="false"/>
          <w:color w:val="000000"/>
          <w:spacing w:val="0"/>
          <w:w w:val="100"/>
          <w:sz w:val="26"/>
          <w:vertAlign w:val="baseline"/>
          <w:lang w:val="en-US"/>
        </w:rPr>
        <w:t xml:space="preserve"> See </w:t>
      </w:r>
      <w:r>
        <w:rPr>
          <w:rFonts w:ascii="Arial" w:hAnsi="Arial" w:eastAsia="Arial"/>
          <w:strike w:val="false"/>
          <w:color w:val="000000"/>
          <w:spacing w:val="0"/>
          <w:w w:val="100"/>
          <w:sz w:val="26"/>
          <w:vertAlign w:val="baseline"/>
          <w:lang w:val="en-US"/>
        </w:rPr>
        <w:t xml:space="preserve">Correction Law § 851 (4)</w:t>
      </w:r>
    </w:p>
    <w:p>
      <w:pPr>
        <w:sectPr>
          <w:type w:val="nextPage"/>
          <w:pgSz w:w="12240" w:h="15840" w:orient="portrait"/>
          <w:pgMar w:bottom="984" w:top="1360" w:right="2140" w:left="2160" w:header="720" w:footer="720"/>
          <w:titlePg w:val="false"/>
          <w:textDirection w:val="lrTb"/>
        </w:sectPr>
      </w:pPr>
    </w:p>
    <w:p>
      <w:pPr>
        <w:pageBreakBefore w:val="false"/>
        <w:spacing w:before="0" w:after="0" w:line="39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Thus, a person INTENTIONALLY fails to return to the institution of his or her confinement at or before the time prescribed for his or her return when that person’s conscious objective or purpose is to do so.</w:t>
      </w:r>
    </w:p>
    <w:p>
      <w:pPr>
        <w:pageBreakBefore w:val="false"/>
        <w:spacing w:before="402" w:after="0" w:line="40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404" w:after="0" w:line="404"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date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in the county of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county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the defendant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was released from confinement in an institution under the jurisdiction of the commissioner of correction to participate in a furlough program; and</w:t>
      </w:r>
    </w:p>
    <w:p>
      <w:pPr>
        <w:pageBreakBefore w:val="false"/>
        <w:numPr>
          <w:ilvl w:val="0"/>
          <w:numId w:val="1"/>
        </w:numPr>
        <w:tabs>
          <w:tab w:val="clear" w:pos="720"/>
          <w:tab w:val="left" w:pos="1440"/>
        </w:tabs>
        <w:spacing w:before="409" w:after="0" w:line="403"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intentionally failed to return to the institution of his or her confinement at or before the time prescribed for his/her return.</w:t>
      </w:r>
    </w:p>
    <w:p>
      <w:pPr>
        <w:pageBreakBefore w:val="false"/>
        <w:spacing w:before="408" w:after="0" w:line="40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403" w:after="1022" w:line="40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7"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pict>
          <v:line strokeweight="0.95pt" strokecolor="#000000" from="107.65pt,666.25pt" to="252.05pt,666.25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3</w:t>
      </w:r>
      <w:r>
        <w:rPr>
          <w:rFonts w:ascii="Arial" w:hAnsi="Arial" w:eastAsia="Arial"/>
          <w:i w:val="true"/>
          <w:strike w:val="false"/>
          <w:color w:val="000000"/>
          <w:spacing w:val="-1"/>
          <w:w w:val="100"/>
          <w:sz w:val="26"/>
          <w:vertAlign w:val="baseline"/>
          <w:lang w:val="en-US"/>
        </w:rPr>
        <w:t xml:space="preserve"> See </w:t>
      </w:r>
      <w:r>
        <w:rPr>
          <w:rFonts w:ascii="Arial" w:hAnsi="Arial" w:eastAsia="Arial"/>
          <w:strike w:val="false"/>
          <w:color w:val="000000"/>
          <w:spacing w:val="-1"/>
          <w:w w:val="100"/>
          <w:sz w:val="26"/>
          <w:vertAlign w:val="baseline"/>
          <w:lang w:val="en-US"/>
        </w:rPr>
        <w:t xml:space="preserve">Penal Law § 15.05 (1)</w:t>
      </w:r>
    </w:p>
    <w:p>
      <w:pPr>
        <w:pageBreakBefore w:val="false"/>
        <w:spacing w:before="244" w:after="0" w:line="299"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nextPage"/>
      <w:pgSz w:w="12240" w:h="15840" w:orient="portrait"/>
      <w:pgMar w:bottom="1024" w:top="1400" w:right="2119"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