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OBSTRUCTING FIREFIGHTING OPERATIONS</w:t>
        <w:br/>
      </w:r>
      <w:r>
        <w:rPr>
          <w:rFonts w:ascii="Arial" w:hAnsi="Arial" w:eastAsia="Arial"/>
          <w:b w:val="true"/>
          <w:strike w:val="false"/>
          <w:color w:val="000000"/>
          <w:spacing w:val="0"/>
          <w:w w:val="100"/>
          <w:sz w:val="28"/>
          <w:vertAlign w:val="baseline"/>
          <w:lang w:val="en-US"/>
        </w:rPr>
        <w:t xml:space="preserve">(Involving Imminent Danger)</w:t>
        <w:br/>
      </w:r>
      <w:r>
        <w:rPr>
          <w:rFonts w:ascii="Arial" w:hAnsi="Arial" w:eastAsia="Arial"/>
          <w:b w:val="true"/>
          <w:strike w:val="false"/>
          <w:color w:val="000000"/>
          <w:spacing w:val="0"/>
          <w:w w:val="100"/>
          <w:sz w:val="28"/>
          <w:vertAlign w:val="baseline"/>
          <w:lang w:val="en-US"/>
        </w:rPr>
        <w:t xml:space="preserve">Penal Law § 195.15(2)</w:t>
        <w:br/>
      </w:r>
      <w:r>
        <w:rPr>
          <w:rFonts w:ascii="Arial" w:hAnsi="Arial" w:eastAsia="Arial"/>
          <w:b w:val="true"/>
          <w:strike w:val="false"/>
          <w:color w:val="000000"/>
          <w:spacing w:val="0"/>
          <w:w w:val="100"/>
          <w:sz w:val="28"/>
          <w:vertAlign w:val="baseline"/>
          <w:lang w:val="en-US"/>
        </w:rPr>
        <w:t xml:space="preserve">(Committed on or after Sept. 1, 1981)</w:t>
      </w:r>
    </w:p>
    <w:p>
      <w:pPr>
        <w:pageBreakBefore w:val="false"/>
        <w:spacing w:before="324"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count is Obstructing Firefighting Operations.</w:t>
      </w:r>
    </w:p>
    <w:p>
      <w:pPr>
        <w:pageBreakBefore w:val="false"/>
        <w:spacing w:before="317"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Obstructing Firefighting Operations when that person intentionally and unreasonably obstructs the efforts of any firefighter, police officer or peace officer in performing his or her duties in circumstances involving an imminent danger created by an explosion, threat of explosion or the presence of toxic fumes or gases.</w:t>
      </w:r>
    </w:p>
    <w:p>
      <w:pPr>
        <w:pageBreakBefore w:val="false"/>
        <w:spacing w:before="349"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obstructs the efforts of any firefighter [police/peace officer], when that person's conscious objective or purpose is to do so.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17"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obstructed the efforts of a firefighter, [police officer / peace officer] in performing his or her duties in circumstances involving an imminent danger created by an explosion, threat of explosion or the presence of toxic fumes or gases; and</w:t>
      </w:r>
    </w:p>
    <w:p>
      <w:pPr>
        <w:pageBreakBefore w:val="false"/>
        <w:numPr>
          <w:ilvl w:val="0"/>
          <w:numId w:val="1"/>
        </w:numPr>
        <w:tabs>
          <w:tab w:val="clear" w:pos="720"/>
          <w:tab w:val="left" w:pos="1440"/>
        </w:tabs>
        <w:spacing w:before="323" w:after="331" w:line="325" w:lineRule="exact"/>
        <w:ind w:right="0" w:left="1440" w:hanging="720"/>
        <w:jc w:val="both"/>
        <w:textAlignment w:val="baseline"/>
        <w:rPr>
          <w:rFonts w:ascii="Arial" w:hAnsi="Arial" w:eastAsia="Arial"/>
          <w:strike w:val="false"/>
          <w:color w:val="000000"/>
          <w:spacing w:val="24"/>
          <w:w w:val="100"/>
          <w:sz w:val="28"/>
          <w:vertAlign w:val="baseline"/>
          <w:lang w:val="en-US"/>
        </w:rPr>
      </w:pPr>
      <w:r>
        <w:rPr>
          <w:rFonts w:ascii="Arial" w:hAnsi="Arial" w:eastAsia="Arial"/>
          <w:strike w:val="false"/>
          <w:color w:val="000000"/>
          <w:spacing w:val="24"/>
          <w:w w:val="100"/>
          <w:sz w:val="28"/>
          <w:vertAlign w:val="baseline"/>
          <w:lang w:val="en-US"/>
        </w:rPr>
        <w:t xml:space="preserve">That the defendant did so intentionally and</w:t>
      </w:r>
    </w:p>
    <w:p>
      <w:pPr>
        <w:pageBreakBefore w:val="false"/>
        <w:spacing w:before="255" w:after="0" w:line="279"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40.55pt" to="252.05pt,640.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in issue, the definition of “peace officer” is in CPL 2.10 and the definition of “police officer” is in CPL 1.20(34).</w:t>
      </w:r>
    </w:p>
    <w:p>
      <w:pPr>
        <w:pageBreakBefore w:val="false"/>
        <w:spacing w:before="234" w:after="0" w:line="279"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An “expanded” definition of “intent” is available in the General Charges section under Culpable Mental States.</w:t>
      </w:r>
    </w:p>
    <w:p>
      <w:pPr>
        <w:sectPr>
          <w:type w:val="nextPage"/>
          <w:pgSz w:w="12240" w:h="15840" w:orient="portrait"/>
          <w:pgMar w:bottom="1024" w:top="1080" w:right="2140" w:left="2160" w:header="720" w:footer="720"/>
          <w:titlePg w:val="false"/>
          <w:textDirection w:val="lrTb"/>
        </w:sectPr>
      </w:pPr>
    </w:p>
    <w:p>
      <w:pPr>
        <w:pageBreakBefore w:val="false"/>
        <w:spacing w:before="8" w:after="320" w:line="320"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unreasonably.</w:t>
      </w:r>
    </w:p>
    <w:p>
      <w:pPr>
        <w:spacing w:before="8" w:after="320" w:line="320" w:lineRule="exact"/>
        <w:sectPr>
          <w:type w:val="nextPage"/>
          <w:pgSz w:w="12240" w:h="15840" w:orient="portrait"/>
          <w:pgMar w:bottom="1024" w:top="1080" w:right="6826" w:left="3614"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8" w:after="10126"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8" w:after="10126" w:line="321" w:lineRule="exact"/>
        <w:sectPr>
          <w:type w:val="continuous"/>
          <w:pgSz w:w="12240" w:h="15840" w:orient="portrait"/>
          <w:pgMar w:bottom="1024" w:top="1080" w:right="2145" w:left="2155"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