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ISSUING A FALSE CERTIFICATE</w:t>
        <w:br/>
      </w:r>
      <w:r>
        <w:rPr>
          <w:rFonts w:ascii="Arial" w:hAnsi="Arial" w:eastAsia="Arial"/>
          <w:b w:val="true"/>
          <w:strike w:val="false"/>
          <w:color w:val="000000"/>
          <w:spacing w:val="0"/>
          <w:w w:val="100"/>
          <w:sz w:val="28"/>
          <w:vertAlign w:val="baseline"/>
          <w:lang w:val="en-US"/>
        </w:rPr>
        <w:t xml:space="preserve">Penal Law § 175.40</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653" w:after="0" w:line="324"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Issuing a False Certificate.</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Issuing a False Certificate when, being a public servant authorized by law to make or issue official certificates or other official written instruments, and with intent to defraud, deceive or injure another person, he or she issues such an instrument, or makes the same with intent that it be issued, knowing that it contains a false statement or false information.</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WRITTEN INSTRUMENT means any instrument or article, including computer data or a computer program, containing written or printed matter or the equivalent thereof, used for the purpose of reciting, embodying, conveying or recording information, or constituting a symbol or evidence, of value, right, privilege or identification, which is capable of being used to the advantage or disadvantage of some person.</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0" w:after="50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 means conscious objective or purpose. Thus, a person acts with intent to defraud, or makes an official certificate</w:t>
      </w:r>
    </w:p>
    <w:p>
      <w:pPr>
        <w:pageBreakBefore w:val="false"/>
        <w:spacing w:before="20" w:after="0" w:line="537" w:lineRule="exact"/>
        <w:ind w:right="0" w:left="720" w:firstLine="0"/>
        <w:jc w:val="left"/>
        <w:textAlignment w:val="baseline"/>
        <w:rPr>
          <w:rFonts w:ascii="Arial" w:hAnsi="Arial" w:eastAsia="Arial"/>
          <w:strike w:val="false"/>
          <w:color w:val="000000"/>
          <w:spacing w:val="0"/>
          <w:w w:val="100"/>
          <w:sz w:val="16"/>
          <w:vertAlign w:val="superscript"/>
          <w:lang w:val="en-US"/>
        </w:rPr>
      </w:pPr>
      <w:r>
        <w:pict>
          <v:line strokeweight="0.95pt" strokecolor="#000000" from="108pt,666.25pt" to="252.05pt,666.2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§175.00(3).</w:t>
        <w:br/>
      </w:r>
      <w:r>
        <w:rPr>
          <w:rFonts w:ascii="Arial" w:hAnsi="Arial" w:eastAsia="Arial"/>
          <w:strike w:val="false"/>
          <w:color w:val="000000"/>
          <w:spacing w:val="0"/>
          <w:w w:val="100"/>
          <w:sz w:val="16"/>
          <w:vertAlign w:val="superscript"/>
          <w:lang w:val="en-US"/>
        </w:rPr>
        <w:t xml:space="preserve">2</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§10.00(15).</w:t>
      </w:r>
    </w:p>
    <w:p>
      <w:pPr>
        <w:sectPr>
          <w:type w:val="nextPage"/>
          <w:pgSz w:w="12240" w:h="15840" w:orient="portrait"/>
          <w:pgMar w:bottom="964" w:top="1440" w:right="2140" w:left="2160" w:header="720" w:footer="720"/>
          <w:titlePg w:val="false"/>
          <w:textDirection w:val="lrTb"/>
        </w:sectPr>
      </w:pPr>
    </w:p>
    <w:p>
      <w:pPr>
        <w:pageBreakBefore w:val="false"/>
        <w:spacing w:before="3"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or other official written instruments with intent that it be issued, when that person’s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means a human being, and where appropriate, a public or private corporation, an unincorporated association, a partnership, a government or governmental instrumentality.</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26" w:after="0" w:line="324"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date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in the county of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county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was a public servant authorized by law to make or issue official certificates or other official written instruments, and issued such an instrument, or made the same with intent that it be issued,</w:t>
      </w:r>
    </w:p>
    <w:p>
      <w:pPr>
        <w:pageBreakBefore w:val="false"/>
        <w:numPr>
          <w:ilvl w:val="0"/>
          <w:numId w:val="1"/>
        </w:numPr>
        <w:tabs>
          <w:tab w:val="clear" w:pos="720"/>
          <w:tab w:val="left" w:pos="1440"/>
        </w:tabs>
        <w:spacing w:before="31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 that it contained a false statement or false information, and</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defraud, deceive or injure another person,</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128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0" w:after="242" w:line="537" w:lineRule="exact"/>
        <w:ind w:right="0" w:left="720" w:firstLine="0"/>
        <w:jc w:val="left"/>
        <w:textAlignment w:val="baseline"/>
        <w:rPr>
          <w:rFonts w:ascii="Arial" w:hAnsi="Arial" w:eastAsia="Arial"/>
          <w:strike w:val="false"/>
          <w:color w:val="000000"/>
          <w:spacing w:val="0"/>
          <w:w w:val="100"/>
          <w:sz w:val="16"/>
          <w:vertAlign w:val="superscript"/>
          <w:lang w:val="en-US"/>
        </w:rPr>
      </w:pPr>
      <w:r>
        <w:pict>
          <v:line strokeweight="0.95pt" strokecolor="#000000" from="107.65pt,639.35pt" to="252.05pt,639.3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3</w:t>
      </w:r>
      <w:r>
        <w:rPr>
          <w:rFonts w:ascii="Arial" w:hAnsi="Arial" w:eastAsia="Arial"/>
          <w:i w:val="true"/>
          <w:strike w:val="false"/>
          <w:color w:val="000000"/>
          <w:spacing w:val="0"/>
          <w:w w:val="100"/>
          <w:sz w:val="26"/>
          <w:vertAlign w:val="baseline"/>
          <w:lang w:val="en-US"/>
        </w:rPr>
        <w:t xml:space="preserve">See </w:t>
      </w:r>
      <w:r>
        <w:rPr>
          <w:rFonts w:ascii="Arial" w:hAnsi="Arial" w:eastAsia="Arial"/>
          <w:strike w:val="false"/>
          <w:color w:val="000000"/>
          <w:spacing w:val="0"/>
          <w:w w:val="100"/>
          <w:sz w:val="26"/>
          <w:vertAlign w:val="baseline"/>
          <w:lang w:val="en-US"/>
        </w:rPr>
        <w:t xml:space="preserve">Penal Law §15.05(1).</w:t>
        <w:br/>
      </w:r>
      <w:r>
        <w:rPr>
          <w:rFonts w:ascii="Arial" w:hAnsi="Arial" w:eastAsia="Arial"/>
          <w:strike w:val="false"/>
          <w:color w:val="000000"/>
          <w:spacing w:val="0"/>
          <w:w w:val="100"/>
          <w:sz w:val="16"/>
          <w:vertAlign w:val="superscript"/>
          <w:lang w:val="en-US"/>
        </w:rPr>
        <w:t xml:space="preserve">4</w:t>
      </w:r>
      <w:r>
        <w:rPr>
          <w:rFonts w:ascii="Arial" w:hAnsi="Arial" w:eastAsia="Arial"/>
          <w:strike w:val="false"/>
          <w:color w:val="000000"/>
          <w:spacing w:val="0"/>
          <w:w w:val="100"/>
          <w:sz w:val="26"/>
          <w:vertAlign w:val="baseline"/>
          <w:lang w:val="en-US"/>
        </w:rPr>
        <w:t xml:space="preserve"> Penal Law §10.00(7).</w:t>
      </w:r>
    </w:p>
    <w:p>
      <w:pPr>
        <w:pageBreakBefore w:val="false"/>
        <w:spacing w:before="2" w:after="0" w:line="299"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p>
      <w:pPr>
        <w:sectPr>
          <w:type w:val="nextPage"/>
          <w:pgSz w:w="12240" w:h="15840" w:orient="portrait"/>
          <w:pgMar w:bottom="1024" w:top="1440" w:right="2147" w:left="2153"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5.8pt;height:14.35pt;z-index:-1000;margin-left:298.1pt;margin-top:706.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9"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3</w:t>
                  </w:r>
                </w:p>
              </w:txbxContent>
            </v:textbox>
          </v:shape>
        </w:pict>
      </w:r>
    </w:p>
    <w:sectPr>
      <w:type w:val="nextPage"/>
      <w:pgSz w:w="12240" w:h="15840" w:orient="portrait"/>
      <w:pgMar w:bottom="1087" w:top="13872" w:right="6051" w:left="60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