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3"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FRAUDULENT MAKING OF AN ELECTRONIC</w:t>
        <w:br/>
      </w:r>
      <w:r>
        <w:rPr>
          <w:rFonts w:ascii="Arial" w:hAnsi="Arial" w:eastAsia="Arial"/>
          <w:b w:val="true"/>
          <w:color w:val="000000"/>
          <w:spacing w:val="0"/>
          <w:w w:val="100"/>
          <w:sz w:val="28"/>
          <w:vertAlign w:val="baseline"/>
          <w:lang w:val="en-US"/>
        </w:rPr>
        <w:t xml:space="preserve">ACCESS DEVICE IN THE SECOND DEGREE</w:t>
        <w:br/>
      </w:r>
      <w:r>
        <w:rPr>
          <w:rFonts w:ascii="Arial" w:hAnsi="Arial" w:eastAsia="Arial"/>
          <w:b w:val="true"/>
          <w:color w:val="000000"/>
          <w:spacing w:val="0"/>
          <w:w w:val="100"/>
          <w:sz w:val="28"/>
          <w:vertAlign w:val="baseline"/>
          <w:lang w:val="en-US"/>
        </w:rPr>
        <w:t xml:space="preserve">(Falsely Making, Completing or Altering</w:t>
        <w:br/>
      </w:r>
      <w:r>
        <w:rPr>
          <w:rFonts w:ascii="Arial" w:hAnsi="Arial" w:eastAsia="Arial"/>
          <w:b w:val="true"/>
          <w:color w:val="000000"/>
          <w:spacing w:val="0"/>
          <w:w w:val="100"/>
          <w:sz w:val="28"/>
          <w:vertAlign w:val="baseline"/>
          <w:lang w:val="en-US"/>
        </w:rPr>
        <w:t xml:space="preserve">Two or More Devices)</w:t>
        <w:br/>
      </w:r>
      <w:r>
        <w:rPr>
          <w:rFonts w:ascii="Arial" w:hAnsi="Arial" w:eastAsia="Arial"/>
          <w:b w:val="true"/>
          <w:color w:val="000000"/>
          <w:spacing w:val="0"/>
          <w:w w:val="100"/>
          <w:sz w:val="28"/>
          <w:vertAlign w:val="baseline"/>
          <w:lang w:val="en-US"/>
        </w:rPr>
        <w:t xml:space="preserve">Penal Law § 170.75</w:t>
        <w:br/>
      </w:r>
      <w:r>
        <w:rPr>
          <w:rFonts w:ascii="Arial" w:hAnsi="Arial" w:eastAsia="Arial"/>
          <w:b w:val="true"/>
          <w:color w:val="000000"/>
          <w:spacing w:val="0"/>
          <w:w w:val="100"/>
          <w:sz w:val="28"/>
          <w:vertAlign w:val="baseline"/>
          <w:lang w:val="en-US"/>
        </w:rPr>
        <w:t xml:space="preserve">(Committed on or After November 1, 1996)</w:t>
        <w:br/>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4"/>
          <w:vertAlign w:val="baseline"/>
          <w:lang w:val="en-US"/>
        </w:rPr>
        <w:t xml:space="preserve">Revised Dec. 2019</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4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Fraudulent Making of an Electronic Access Device in the Second Degree.</w:t>
      </w:r>
    </w:p>
    <w:p>
      <w:pPr>
        <w:pageBreakBefore w:val="false"/>
        <w:spacing w:before="327" w:after="0" w:line="322"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Fraudulent Making of an Electronic Access Device in the Second Degree when, with intent to defraud, deceive or injure another, he or she falsely makes, completes, or alters, two or more electronic access devices</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w:t>
      </w:r>
    </w:p>
    <w:p>
      <w:pPr>
        <w:pageBreakBefore w:val="false"/>
        <w:spacing w:before="334"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 intent to defraud, deceive, or injure another must include an intent to cause harm to that person.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5"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Thus, a person acts with intent to defraud, deceive or injure another when that person's conscious objective or purpose is to defraud, deceive or injure another.</w:t>
      </w:r>
    </w:p>
    <w:p>
      <w:pPr>
        <w:pageBreakBefore w:val="false"/>
        <w:spacing w:before="316" w:after="585"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 ELECTRONIC ACCESS DEVICE means a mobile identification number or electronic serial number that can be</w:t>
      </w:r>
    </w:p>
    <w:p>
      <w:pPr>
        <w:pageBreakBefore w:val="false"/>
        <w:spacing w:before="252" w:after="0" w:line="278" w:lineRule="exact"/>
        <w:ind w:right="0" w:left="0" w:firstLine="720"/>
        <w:jc w:val="both"/>
        <w:textAlignment w:val="baseline"/>
        <w:rPr>
          <w:rFonts w:ascii="Arial" w:hAnsi="Arial" w:eastAsia="Arial"/>
          <w:color w:val="000000"/>
          <w:spacing w:val="0"/>
          <w:w w:val="100"/>
          <w:sz w:val="17"/>
          <w:vertAlign w:val="superscript"/>
          <w:lang w:val="en-US"/>
        </w:rPr>
      </w:pPr>
      <w:r>
        <w:pict>
          <v:line strokeweight="0.95pt" strokecolor="#000000" from="107.75pt,572.4pt" to="252.05pt,572.4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color w:val="000000"/>
          <w:spacing w:val="0"/>
          <w:w w:val="100"/>
          <w:sz w:val="24"/>
          <w:vertAlign w:val="baseline"/>
          <w:lang w:val="en-US"/>
        </w:rPr>
        <w:t xml:space="preserve">The 2019 revision was for the purposed of adding the text attached to footnote (3).</w:t>
      </w:r>
    </w:p>
    <w:p>
      <w:pPr>
        <w:pageBreakBefore w:val="false"/>
        <w:spacing w:before="202" w:after="0" w:line="309" w:lineRule="exact"/>
        <w:ind w:right="0" w:left="0" w:firstLine="720"/>
        <w:jc w:val="both"/>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2</w:t>
      </w:r>
      <w:r>
        <w:rPr>
          <w:rFonts w:ascii="Arial" w:hAnsi="Arial" w:eastAsia="Arial"/>
          <w:color w:val="000000"/>
          <w:spacing w:val="0"/>
          <w:w w:val="100"/>
          <w:sz w:val="23"/>
          <w:vertAlign w:val="baseline"/>
          <w:lang w:val="en-US"/>
        </w:rPr>
        <w:t xml:space="preserve">The statute adds at this point: "as that term is defined in subdivision eight of section 170.00 of this article." That definition is set forth below</w:t>
      </w:r>
      <w:r>
        <w:rPr>
          <w:rFonts w:ascii="Arial" w:hAnsi="Arial" w:eastAsia="Arial"/>
          <w:color w:val="000000"/>
          <w:spacing w:val="0"/>
          <w:w w:val="100"/>
          <w:sz w:val="28"/>
          <w:vertAlign w:val="baseline"/>
          <w:lang w:val="en-US"/>
        </w:rPr>
        <w:t xml:space="preserve">.</w:t>
      </w:r>
    </w:p>
    <w:p>
      <w:pPr>
        <w:pageBreakBefore w:val="false"/>
        <w:spacing w:before="269" w:after="0" w:line="286" w:lineRule="exact"/>
        <w:ind w:right="0" w:left="0" w:firstLine="720"/>
        <w:jc w:val="both"/>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3 </w:t>
      </w:r>
      <w:r>
        <w:rPr>
          <w:rFonts w:ascii="Arial" w:hAnsi="Arial" w:eastAsia="Arial"/>
          <w:color w:val="000000"/>
          <w:spacing w:val="-1"/>
          <w:w w:val="100"/>
          <w:sz w:val="24"/>
          <w:vertAlign w:val="baseline"/>
          <w:lang w:val="en-US"/>
        </w:rPr>
        <w:t xml:space="preserve">This sentence was added to accord with </w:t>
      </w:r>
      <w:r>
        <w:rPr>
          <w:rFonts w:ascii="Arial" w:hAnsi="Arial" w:eastAsia="Arial"/>
          <w:i w:val="true"/>
          <w:color w:val="000000"/>
          <w:spacing w:val="-1"/>
          <w:w w:val="100"/>
          <w:sz w:val="24"/>
          <w:vertAlign w:val="baseline"/>
          <w:lang w:val="en-US"/>
        </w:rPr>
        <w:t xml:space="preserve">Golb v. Attorney General</w:t>
      </w:r>
      <w:r>
        <w:rPr>
          <w:rFonts w:ascii="Arial" w:hAnsi="Arial" w:eastAsia="Arial"/>
          <w:color w:val="000000"/>
          <w:spacing w:val="-1"/>
          <w:w w:val="100"/>
          <w:sz w:val="24"/>
          <w:vertAlign w:val="baseline"/>
          <w:lang w:val="en-US"/>
        </w:rPr>
        <w:t xml:space="preserve">, 870 F.3d 89 (2d Cir. 2017). </w:t>
      </w:r>
      <w:r>
        <w:rPr>
          <w:rFonts w:ascii="Arial" w:hAnsi="Arial" w:eastAsia="Arial"/>
          <w:i w:val="true"/>
          <w:color w:val="000000"/>
          <w:spacing w:val="-1"/>
          <w:w w:val="100"/>
          <w:sz w:val="24"/>
          <w:vertAlign w:val="baseline"/>
          <w:lang w:val="en-US"/>
        </w:rPr>
        <w:t xml:space="preserve">See People v. Golb</w:t>
      </w:r>
      <w:r>
        <w:rPr>
          <w:rFonts w:ascii="Arial" w:hAnsi="Arial" w:eastAsia="Arial"/>
          <w:color w:val="000000"/>
          <w:spacing w:val="-1"/>
          <w:w w:val="100"/>
          <w:sz w:val="24"/>
          <w:vertAlign w:val="baseline"/>
          <w:lang w:val="en-US"/>
        </w:rPr>
        <w:t xml:space="preserve">, 23 NY3d 455 (2014).</w:t>
      </w:r>
    </w:p>
    <w:p>
      <w:pPr>
        <w:pageBreakBefore w:val="false"/>
        <w:spacing w:before="201" w:after="0" w:line="295" w:lineRule="exact"/>
        <w:ind w:right="0" w:left="720" w:firstLine="0"/>
        <w:jc w:val="left"/>
        <w:textAlignment w:val="baseline"/>
        <w:rPr>
          <w:rFonts w:ascii="Arial" w:hAnsi="Arial" w:eastAsia="Arial"/>
          <w:color w:val="000000"/>
          <w:spacing w:val="-3"/>
          <w:w w:val="100"/>
          <w:sz w:val="17"/>
          <w:vertAlign w:val="superscript"/>
          <w:lang w:val="en-US"/>
        </w:rPr>
      </w:pPr>
      <w:r>
        <w:rPr>
          <w:rFonts w:ascii="Arial" w:hAnsi="Arial" w:eastAsia="Arial"/>
          <w:color w:val="000000"/>
          <w:spacing w:val="-3"/>
          <w:w w:val="100"/>
          <w:sz w:val="17"/>
          <w:vertAlign w:val="superscript"/>
          <w:lang w:val="en-US"/>
        </w:rPr>
        <w:t xml:space="preserve">1</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§15.05(1).</w:t>
      </w:r>
    </w:p>
    <w:p>
      <w:pPr>
        <w:sectPr>
          <w:type w:val="nextPage"/>
          <w:pgSz w:w="12240" w:h="15840" w:orient="portrait"/>
          <w:pgMar w:bottom="984" w:top="1080" w:right="2145" w:left="2155" w:header="720" w:footer="720"/>
          <w:titlePg w:val="false"/>
          <w:textDirection w:val="lrTb"/>
        </w:sectPr>
      </w:pPr>
    </w:p>
    <w:p>
      <w:pPr>
        <w:pageBreakBefore w:val="false"/>
        <w:spacing w:before="37" w:after="0" w:line="323"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used to obtain telephone service.</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17"/>
          <w:vertAlign w:val="baseline"/>
          <w:lang w:val="en-US"/>
        </w:rPr>
        <w:t xml:space="preserve">
</w:t>
      </w:r>
    </w:p>
    <w:p>
      <w:pPr>
        <w:pageBreakBefore w:val="false"/>
        <w:spacing w:before="334"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FALSELY MAKES an electronic access device when he or she makes an electronic access device in its entirety, which purports to be an authentic creation of its ostensible maker but which is not such either because the ostensible maker is fictitious or because, if real, he did not authorize the making or drawing thereof.</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FALSELY COMPLETES an electronic access device when, by adding, inserting or changing matter, he or she transforms an incomplete electronic access device into a complete one, without the authority of anyone entitled to grant it, so that such complete electronic access device appears or purports to be in all respects an authentic creation of or fully authorized by its ostensible maker.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FALSELY ALTERS an electronic access device when, without the authority of anyone entitled to grant it, he or she changes an electronic access device, whether it be in a complete or incomplete form, by means of erasure, obliteration, deletion, insertion of new matter, transposition of matter, or in any other manner, so that such device in its thus altered form appears or purports to be in all respects an authentic creation of or fully authorized by its ostensible maker.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tabs>
          <w:tab w:val="right" w:leader="none" w:pos="7920"/>
        </w:tabs>
        <w:spacing w:before="658" w:after="408"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w:t>
      </w:r>
    </w:p>
    <w:p>
      <w:pPr>
        <w:pageBreakBefore w:val="false"/>
        <w:spacing w:before="16" w:after="247" w:line="496" w:lineRule="exact"/>
        <w:ind w:right="4392" w:left="720" w:firstLine="0"/>
        <w:jc w:val="both"/>
        <w:textAlignment w:val="baseline"/>
        <w:rPr>
          <w:rFonts w:ascii="Arial" w:hAnsi="Arial" w:eastAsia="Arial"/>
          <w:color w:val="000000"/>
          <w:spacing w:val="-3"/>
          <w:w w:val="100"/>
          <w:sz w:val="17"/>
          <w:vertAlign w:val="superscript"/>
          <w:lang w:val="en-US"/>
        </w:rPr>
      </w:pPr>
      <w:r>
        <w:pict>
          <v:line strokeweight="0.95pt" strokecolor="#000000" from="107.85pt,594.5pt" to="252.05pt,594.5pt" style="position:absolute;mso-position-horizontal-relative:page;mso-position-vertical-relative:page;">
            <v:stroke dashstyle="solid"/>
          </v:line>
        </w:pict>
      </w:r>
      <w:r>
        <w:rPr>
          <w:rFonts w:ascii="Arial" w:hAnsi="Arial" w:eastAsia="Arial"/>
          <w:color w:val="000000"/>
          <w:spacing w:val="-3"/>
          <w:w w:val="100"/>
          <w:sz w:val="17"/>
          <w:vertAlign w:val="superscript"/>
          <w:lang w:val="en-US"/>
        </w:rPr>
        <w:t xml:space="preserve">2</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§170.00(8). </w:t>
      </w:r>
      <w:r>
        <w:rPr>
          <w:rFonts w:ascii="Arial" w:hAnsi="Arial" w:eastAsia="Arial"/>
          <w:color w:val="000000"/>
          <w:spacing w:val="-3"/>
          <w:w w:val="100"/>
          <w:sz w:val="17"/>
          <w:vertAlign w:val="superscript"/>
          <w:lang w:val="en-US"/>
        </w:rPr>
        <w:t xml:space="preserve">3</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§170.00(4). </w:t>
      </w:r>
      <w:r>
        <w:rPr>
          <w:rFonts w:ascii="Arial" w:hAnsi="Arial" w:eastAsia="Arial"/>
          <w:color w:val="000000"/>
          <w:spacing w:val="-3"/>
          <w:w w:val="100"/>
          <w:sz w:val="17"/>
          <w:vertAlign w:val="superscript"/>
          <w:lang w:val="en-US"/>
        </w:rPr>
        <w:t xml:space="preserve">4</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§170.00(5). </w:t>
      </w:r>
      <w:r>
        <w:rPr>
          <w:rFonts w:ascii="Arial" w:hAnsi="Arial" w:eastAsia="Arial"/>
          <w:color w:val="000000"/>
          <w:spacing w:val="-3"/>
          <w:w w:val="100"/>
          <w:sz w:val="17"/>
          <w:vertAlign w:val="superscript"/>
          <w:lang w:val="en-US"/>
        </w:rPr>
        <w:t xml:space="preserve">5</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§170.00(6).</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040" w:right="2143" w:left="2157" w:header="720" w:footer="720"/>
          <w:titlePg w:val="false"/>
          <w:textDirection w:val="lrTb"/>
        </w:sectPr>
      </w:pPr>
    </w:p>
    <w:p>
      <w:pPr>
        <w:pageBreakBefore w:val="false"/>
        <w:spacing w:before="2"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falsely made, completed, or altered two or more electronic access devices; and</w:t>
      </w:r>
    </w:p>
    <w:p>
      <w:pPr>
        <w:pageBreakBefore w:val="false"/>
        <w:tabs>
          <w:tab w:val="right" w:leader="none" w:pos="7920"/>
        </w:tabs>
        <w:spacing w:before="329"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the defendant did so with the intent to defraud,</w:t>
      </w:r>
    </w:p>
    <w:p>
      <w:pPr>
        <w:pageBreakBefore w:val="false"/>
        <w:spacing w:before="3"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deceive or injure another.</w:t>
      </w:r>
    </w:p>
    <w:p>
      <w:pPr>
        <w:pageBreakBefore w:val="false"/>
        <w:spacing w:before="64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8183"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8183" w:line="321" w:lineRule="exact"/>
        <w:sectPr>
          <w:type w:val="nextPage"/>
          <w:pgSz w:w="12240" w:h="15840" w:orient="portrait"/>
          <w:pgMar w:bottom="1024" w:top="1080" w:right="2145" w:left="2155"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1024" w:top="108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