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ILLEGAL POSSESSION OF A</w:t>
        <w:br/>
      </w:r>
      <w:r>
        <w:rPr>
          <w:rFonts w:ascii="Arial" w:hAnsi="Arial" w:eastAsia="Arial"/>
          <w:b w:val="true"/>
          <w:strike w:val="false"/>
          <w:color w:val="000000"/>
          <w:spacing w:val="0"/>
          <w:w w:val="100"/>
          <w:sz w:val="28"/>
          <w:vertAlign w:val="baseline"/>
          <w:lang w:val="en-US"/>
        </w:rPr>
        <w:t xml:space="preserve">VEHICLE IDENTIFICATION NUMBER</w:t>
        <w:br/>
      </w:r>
      <w:r>
        <w:rPr>
          <w:rFonts w:ascii="Arial" w:hAnsi="Arial" w:eastAsia="Arial"/>
          <w:b w:val="true"/>
          <w:strike w:val="false"/>
          <w:color w:val="000000"/>
          <w:spacing w:val="0"/>
          <w:w w:val="100"/>
          <w:sz w:val="28"/>
          <w:vertAlign w:val="baseline"/>
          <w:lang w:val="en-US"/>
        </w:rPr>
        <w:t xml:space="preserve">Penal Law § 170.70(3)(b)</w:t>
        <w:br/>
      </w:r>
      <w:r>
        <w:rPr>
          <w:rFonts w:ascii="Arial" w:hAnsi="Arial" w:eastAsia="Arial"/>
          <w:b w:val="true"/>
          <w:strike w:val="false"/>
          <w:color w:val="000000"/>
          <w:spacing w:val="0"/>
          <w:w w:val="100"/>
          <w:sz w:val="28"/>
          <w:vertAlign w:val="baseline"/>
          <w:lang w:val="en-US"/>
        </w:rPr>
        <w:t xml:space="preserve">(Committed on or after Nov. 1, 2002)</w:t>
      </w:r>
    </w:p>
    <w:p>
      <w:pPr>
        <w:pageBreakBefore w:val="false"/>
        <w:spacing w:before="324"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Illegal Possession of a Vehicle Identification Number</w:t>
      </w:r>
    </w:p>
    <w:p>
      <w:pPr>
        <w:pageBreakBefore w:val="false"/>
        <w:spacing w:before="332"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Illegal Possession of a Vehicle Identification Number when he or she knowingly possesses a vehicle, or part of a vehicle to which by law or regulation must be attached a vehicle identification number on which is affixed, stamped or embossed a vehicle identification number which was not affixed, stamped or embossed by the manufacturer, or in accordance with law</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with certain exceptions not applicable here, a vehicle identification number must be attached to a vehicle or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 part</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of a vehicle.</w:t>
      </w:r>
      <w:r>
        <w:rPr>
          <w:rFonts w:ascii="Arial" w:hAnsi="Arial" w:eastAsia="Arial"/>
          <w:i w:val="true"/>
          <w:strike w:val="false"/>
          <w:color w:val="000000"/>
          <w:spacing w:val="0"/>
          <w:w w:val="100"/>
          <w:sz w:val="28"/>
          <w:vertAlign w:val="superscript"/>
          <w:lang w:val="en-US"/>
        </w:rPr>
        <w:t xml:space="preserve">2</w:t>
      </w:r>
      <w:r>
        <w:rPr>
          <w:rFonts w:ascii="Arial" w:hAnsi="Arial" w:eastAsia="Arial"/>
          <w:i w:val="true"/>
          <w:strike w:val="false"/>
          <w:color w:val="000000"/>
          <w:spacing w:val="0"/>
          <w:w w:val="100"/>
          <w:sz w:val="17"/>
          <w:vertAlign w:val="baseline"/>
          <w:lang w:val="en-US"/>
        </w:rPr>
        <w:t xml:space="preserve">
</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9" w:after="0" w:line="319"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3</w:t>
      </w:r>
      <w:r>
        <w:rPr>
          <w:rFonts w:ascii="Arial" w:hAnsi="Arial" w:eastAsia="Arial"/>
          <w:strike w:val="false"/>
          <w:color w:val="000000"/>
          <w:spacing w:val="-4"/>
          <w:w w:val="100"/>
          <w:sz w:val="17"/>
          <w:vertAlign w:val="baseline"/>
          <w:lang w:val="en-US"/>
        </w:rPr>
        <w:t xml:space="preserve">
</w:t>
      </w:r>
    </w:p>
    <w:p>
      <w:pPr>
        <w:pageBreakBefore w:val="false"/>
        <w:spacing w:before="333" w:after="249" w:line="318"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[Add if applicable:</w:t>
      </w:r>
    </w:p>
    <w:p>
      <w:pPr>
        <w:pageBreakBefore w:val="false"/>
        <w:spacing w:before="272" w:after="0" w:line="277" w:lineRule="exact"/>
        <w:ind w:right="0" w:left="0" w:firstLine="0"/>
        <w:jc w:val="both"/>
        <w:textAlignment w:val="baseline"/>
        <w:rPr>
          <w:rFonts w:ascii="Arial" w:hAnsi="Arial" w:eastAsia="Arial"/>
          <w:strike w:val="false"/>
          <w:color w:val="000000"/>
          <w:spacing w:val="-3"/>
          <w:w w:val="100"/>
          <w:sz w:val="16"/>
          <w:vertAlign w:val="superscript"/>
          <w:lang w:val="en-US"/>
        </w:rPr>
      </w:pPr>
      <w:r>
        <w:pict>
          <v:line strokeweight="1.2pt" strokecolor="#000000" from="107.75pt,524.65pt" to="252.05pt,524.65pt" style="position:absolute;mso-position-horizontal-relative:page;mso-position-vertical-relative:page;">
            <v:stroke dashstyle="solid"/>
          </v:line>
        </w:pict>
      </w:r>
      <w:r>
        <w:rPr>
          <w:rFonts w:ascii="Arial" w:hAnsi="Arial" w:eastAsia="Arial"/>
          <w:strike w:val="false"/>
          <w:color w:val="000000"/>
          <w:spacing w:val="-3"/>
          <w:w w:val="100"/>
          <w:sz w:val="16"/>
          <w:vertAlign w:val="superscript"/>
          <w:lang w:val="en-US"/>
        </w:rPr>
        <w:t xml:space="preserve">1</w:t>
      </w:r>
      <w:r>
        <w:rPr>
          <w:rFonts w:ascii="Arial" w:hAnsi="Arial" w:eastAsia="Arial"/>
          <w:strike w:val="false"/>
          <w:color w:val="000000"/>
          <w:spacing w:val="-3"/>
          <w:w w:val="100"/>
          <w:sz w:val="24"/>
          <w:vertAlign w:val="baseline"/>
          <w:lang w:val="en-US"/>
        </w:rPr>
        <w:t xml:space="preserve"> The charge substitutes the words “in accordance with law” for the statutory words “in accordance with 49 U.S.C. section 32101, et seq. and regulations promulgated thereunder or in accordance with the provisions of the vehicle and traffic law.” See Vehicle and Traffic Law article 17, sections 421, 422, 423-a, 431. If in issue, the appropriate provision of law should be charged.</w:t>
      </w:r>
    </w:p>
    <w:p>
      <w:pPr>
        <w:pageBreakBefore w:val="false"/>
        <w:spacing w:before="238" w:after="0" w:line="300" w:lineRule="exact"/>
        <w:ind w:right="0" w:left="0" w:firstLine="0"/>
        <w:jc w:val="both"/>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2</w:t>
      </w:r>
      <w:r>
        <w:rPr>
          <w:rFonts w:ascii="Arial" w:hAnsi="Arial" w:eastAsia="Arial"/>
          <w:strike w:val="false"/>
          <w:color w:val="000000"/>
          <w:spacing w:val="0"/>
          <w:w w:val="100"/>
          <w:sz w:val="26"/>
          <w:vertAlign w:val="baseline"/>
          <w:lang w:val="en-US"/>
        </w:rPr>
        <w:t xml:space="preserve"> If there is an issue as to whether the law requires that a vehicle identification number be attached to the vehicle or vehicle part, omit this sentence and charge the applicable law.</w:t>
      </w:r>
    </w:p>
    <w:p>
      <w:pPr>
        <w:pageBreakBefore w:val="false"/>
        <w:spacing w:before="233" w:after="0" w:line="300" w:lineRule="exact"/>
        <w:ind w:right="0" w:left="0" w:firstLine="0"/>
        <w:jc w:val="both"/>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3</w:t>
      </w:r>
      <w:r>
        <w:rPr>
          <w:rFonts w:ascii="Arial" w:hAnsi="Arial" w:eastAsia="Arial"/>
          <w:i w:val="true"/>
          <w:strike w:val="false"/>
          <w:color w:val="000000"/>
          <w:spacing w:val="0"/>
          <w:w w:val="100"/>
          <w:sz w:val="26"/>
          <w:vertAlign w:val="baseline"/>
          <w:lang w:val="en-US"/>
        </w:rPr>
        <w:t xml:space="preserve">See </w:t>
      </w:r>
      <w:r>
        <w:rPr>
          <w:rFonts w:ascii="Arial" w:hAnsi="Arial" w:eastAsia="Arial"/>
          <w:strike w:val="false"/>
          <w:color w:val="000000"/>
          <w:spacing w:val="0"/>
          <w:w w:val="100"/>
          <w:sz w:val="26"/>
          <w:vertAlign w:val="baseline"/>
          <w:lang w:val="en-US"/>
        </w:rPr>
        <w:t xml:space="preserve">Penal Law § 10.00(8). If necessary, an expanded definition of "possession" is available in the section on </w:t>
      </w:r>
      <w:r>
        <w:rPr>
          <w:rFonts w:ascii="Arial" w:hAnsi="Arial" w:eastAsia="Arial"/>
          <w:strike w:val="false"/>
          <w:color w:val="000000"/>
          <w:spacing w:val="0"/>
          <w:w w:val="100"/>
          <w:sz w:val="24"/>
          <w:vertAlign w:val="baseline"/>
          <w:lang w:val="en-US"/>
        </w:rPr>
        <w:t xml:space="preserve">Instructions of General Applicability </w:t>
      </w:r>
      <w:r>
        <w:rPr>
          <w:rFonts w:ascii="Arial" w:hAnsi="Arial" w:eastAsia="Arial"/>
          <w:strike w:val="false"/>
          <w:color w:val="000000"/>
          <w:spacing w:val="0"/>
          <w:w w:val="100"/>
          <w:sz w:val="26"/>
          <w:vertAlign w:val="baseline"/>
          <w:lang w:val="en-US"/>
        </w:rPr>
        <w:t xml:space="preserve">under Possession.</w:t>
      </w:r>
    </w:p>
    <w:p>
      <w:pPr>
        <w:sectPr>
          <w:type w:val="nextPage"/>
          <w:pgSz w:w="12240" w:h="15840" w:orient="portrait"/>
          <w:pgMar w:bottom="984" w:top="1440" w:right="2145" w:left="2155" w:header="720" w:footer="720"/>
          <w:titlePg w:val="false"/>
          <w:textDirection w:val="lrTb"/>
        </w:sectPr>
      </w:pPr>
    </w:p>
    <w:p>
      <w:pPr>
        <w:pageBreakBefore w:val="false"/>
        <w:spacing w:before="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is presumed to knowingly possess a vehicle or vehicle part when he possesses any combination of five such whole vehicles or individual vehicle parts, none of which are attached to or contained in the same vehicle.</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w:t>
      </w:r>
    </w:p>
    <w:p>
      <w:pPr>
        <w:pageBreakBefore w:val="false"/>
        <w:spacing w:before="328"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possesses </w:t>
      </w:r>
      <w:r>
        <w:rPr>
          <w:rFonts w:ascii="Arial" w:hAnsi="Arial" w:eastAsia="Arial"/>
          <w:i w:val="true"/>
          <w:strike w:val="false"/>
          <w:color w:val="000000"/>
          <w:spacing w:val="0"/>
          <w:w w:val="100"/>
          <w:sz w:val="23"/>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when that person is aware that he or she is in possession of </w:t>
      </w:r>
      <w:r>
        <w:rPr>
          <w:rFonts w:ascii="Arial" w:hAnsi="Arial" w:eastAsia="Arial"/>
          <w:i w:val="true"/>
          <w:strike w:val="false"/>
          <w:color w:val="000000"/>
          <w:spacing w:val="0"/>
          <w:w w:val="100"/>
          <w:sz w:val="23"/>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w:t>
      </w:r>
      <w:r>
        <w:rPr>
          <w:rFonts w:ascii="Arial" w:hAnsi="Arial" w:eastAsia="Arial"/>
          <w:strike w:val="false"/>
          <w:color w:val="000000"/>
          <w:spacing w:val="0"/>
          <w:w w:val="100"/>
          <w:sz w:val="17"/>
          <w:vertAlign w:val="baseline"/>
          <w:lang w:val="en-US"/>
        </w:rPr>
        <w:t xml:space="preserve">5</w:t>
      </w:r>
    </w:p>
    <w:p>
      <w:pPr>
        <w:pageBreakBefore w:val="false"/>
        <w:spacing w:before="322"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two elements:</w:t>
      </w:r>
    </w:p>
    <w:p>
      <w:pPr>
        <w:pageBreakBefore w:val="false"/>
        <w:numPr>
          <w:ilvl w:val="0"/>
          <w:numId w:val="1"/>
        </w:numPr>
        <w:tabs>
          <w:tab w:val="clear" w:pos="720"/>
          <w:tab w:val="left" w:pos="1440"/>
        </w:tabs>
        <w:spacing w:before="335" w:after="0" w:line="323" w:lineRule="exact"/>
        <w:ind w:right="0" w:left="1440" w:hanging="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on or about </w:t>
      </w:r>
      <w:r>
        <w:rPr>
          <w:rFonts w:ascii="Arial" w:hAnsi="Arial" w:eastAsia="Arial"/>
          <w:strike w:val="false"/>
          <w:color w:val="000000"/>
          <w:spacing w:val="-2"/>
          <w:w w:val="100"/>
          <w:sz w:val="28"/>
          <w:u w:val="single"/>
          <w:vertAlign w:val="baseline"/>
          <w:lang w:val="en-US"/>
        </w:rPr>
        <w:t xml:space="preserve"> (date) </w:t>
      </w:r>
      <w:r>
        <w:rPr>
          <w:rFonts w:ascii="Arial" w:hAnsi="Arial" w:eastAsia="Arial"/>
          <w:strike w:val="false"/>
          <w:color w:val="000000"/>
          <w:spacing w:val="-2"/>
          <w:w w:val="100"/>
          <w:sz w:val="28"/>
          <w:vertAlign w:val="baseline"/>
          <w:lang w:val="en-US"/>
        </w:rPr>
        <w:t xml:space="preserve"> , in the county of </w:t>
      </w:r>
      <w:r>
        <w:rPr>
          <w:rFonts w:ascii="Arial" w:hAnsi="Arial" w:eastAsia="Arial"/>
          <w:strike w:val="false"/>
          <w:color w:val="000000"/>
          <w:spacing w:val="-2"/>
          <w:w w:val="100"/>
          <w:sz w:val="28"/>
          <w:u w:val="single"/>
          <w:vertAlign w:val="baseline"/>
          <w:lang w:val="en-US"/>
        </w:rPr>
        <w:t xml:space="preserve"> (county) </w:t>
      </w:r>
      <w:r>
        <w:rPr>
          <w:rFonts w:ascii="Arial" w:hAnsi="Arial" w:eastAsia="Arial"/>
          <w:strike w:val="false"/>
          <w:color w:val="000000"/>
          <w:spacing w:val="-2"/>
          <w:w w:val="100"/>
          <w:sz w:val="28"/>
          <w:vertAlign w:val="baseline"/>
          <w:lang w:val="en-US"/>
        </w:rPr>
        <w:t xml:space="preserve"> , the defendant, </w:t>
      </w:r>
      <w:r>
        <w:rPr>
          <w:rFonts w:ascii="Arial" w:hAnsi="Arial" w:eastAsia="Arial"/>
          <w:strike w:val="false"/>
          <w:color w:val="000000"/>
          <w:spacing w:val="-2"/>
          <w:w w:val="100"/>
          <w:sz w:val="28"/>
          <w:u w:val="single"/>
          <w:vertAlign w:val="baseline"/>
          <w:lang w:val="en-US"/>
        </w:rPr>
        <w:t xml:space="preserve"> (defendant's name),</w:t>
      </w:r>
      <w:r>
        <w:rPr>
          <w:rFonts w:ascii="Arial" w:hAnsi="Arial" w:eastAsia="Arial"/>
          <w:strike w:val="false"/>
          <w:color w:val="000000"/>
          <w:spacing w:val="-2"/>
          <w:w w:val="100"/>
          <w:sz w:val="28"/>
          <w:vertAlign w:val="baseline"/>
          <w:lang w:val="en-US"/>
        </w:rPr>
        <w:t xml:space="preserve"> possessed a vehicle, or part of a vehicle to which by law or regulation must be attached a vehicle identification number on which was affixed, stamped or embossed a vehicle identification number which was not affixed, stamped or embossed by the manufacturer, or in accordance with law.</w:t>
      </w:r>
    </w:p>
    <w:p>
      <w:pPr>
        <w:pageBreakBefore w:val="false"/>
        <w:numPr>
          <w:ilvl w:val="0"/>
          <w:numId w:val="1"/>
        </w:numPr>
        <w:tabs>
          <w:tab w:val="clear" w:pos="720"/>
          <w:tab w:val="left" w:pos="1440"/>
        </w:tabs>
        <w:spacing w:before="332" w:after="0" w:line="31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1005"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257" w:after="0" w:line="297" w:lineRule="exact"/>
        <w:ind w:right="0" w:left="0" w:firstLine="0"/>
        <w:jc w:val="left"/>
        <w:textAlignment w:val="baseline"/>
        <w:rPr>
          <w:rFonts w:ascii="Arial" w:hAnsi="Arial" w:eastAsia="Arial"/>
          <w:strike w:val="false"/>
          <w:color w:val="000000"/>
          <w:spacing w:val="-1"/>
          <w:w w:val="100"/>
          <w:sz w:val="16"/>
          <w:vertAlign w:val="superscript"/>
          <w:lang w:val="en-US"/>
        </w:rPr>
      </w:pPr>
      <w:r>
        <w:pict>
          <v:line strokeweight="0.95pt" strokecolor="#000000" from="107.75pt,609.6pt" to="252.05pt,609.6pt" style="position:absolute;mso-position-horizontal-relative:page;mso-position-vertical-relative:page;">
            <v:stroke dashstyle="solid"/>
          </v:line>
        </w:pict>
      </w:r>
      <w:r>
        <w:rPr>
          <w:rFonts w:ascii="Arial" w:hAnsi="Arial" w:eastAsia="Arial"/>
          <w:strike w:val="false"/>
          <w:color w:val="000000"/>
          <w:spacing w:val="-1"/>
          <w:w w:val="100"/>
          <w:sz w:val="16"/>
          <w:vertAlign w:val="superscript"/>
          <w:lang w:val="en-US"/>
        </w:rPr>
        <w:t xml:space="preserve">4</w:t>
      </w:r>
      <w:r>
        <w:rPr>
          <w:rFonts w:ascii="Arial" w:hAnsi="Arial" w:eastAsia="Arial"/>
          <w:strike w:val="false"/>
          <w:color w:val="000000"/>
          <w:spacing w:val="-1"/>
          <w:w w:val="100"/>
          <w:sz w:val="26"/>
          <w:vertAlign w:val="baseline"/>
          <w:lang w:val="en-US"/>
        </w:rPr>
        <w:t xml:space="preserve"> Penal Law § 170.71(2).</w:t>
      </w:r>
    </w:p>
    <w:p>
      <w:pPr>
        <w:pageBreakBefore w:val="false"/>
        <w:spacing w:before="242" w:after="0" w:line="299" w:lineRule="exact"/>
        <w:ind w:right="0" w:left="0" w:firstLine="0"/>
        <w:jc w:val="both"/>
        <w:textAlignment w:val="baseline"/>
        <w:rPr>
          <w:rFonts w:ascii="Arial" w:hAnsi="Arial" w:eastAsia="Arial"/>
          <w:strike w:val="false"/>
          <w:color w:val="000000"/>
          <w:spacing w:val="0"/>
          <w:w w:val="100"/>
          <w:sz w:val="16"/>
          <w:vertAlign w:val="superscript"/>
          <w:lang w:val="en-US"/>
        </w:rPr>
      </w:pPr>
      <w:r>
        <w:rPr>
          <w:rFonts w:ascii="Arial" w:hAnsi="Arial" w:eastAsia="Arial"/>
          <w:strike w:val="false"/>
          <w:color w:val="000000"/>
          <w:spacing w:val="0"/>
          <w:w w:val="100"/>
          <w:sz w:val="16"/>
          <w:vertAlign w:val="superscript"/>
          <w:lang w:val="en-US"/>
        </w:rPr>
        <w:t xml:space="preserve">5</w:t>
      </w:r>
      <w:r>
        <w:rPr>
          <w:rFonts w:ascii="Arial" w:hAnsi="Arial" w:eastAsia="Arial"/>
          <w:i w:val="true"/>
          <w:strike w:val="false"/>
          <w:color w:val="000000"/>
          <w:spacing w:val="0"/>
          <w:w w:val="100"/>
          <w:sz w:val="26"/>
          <w:vertAlign w:val="baseline"/>
          <w:lang w:val="en-US"/>
        </w:rPr>
        <w:t xml:space="preserve">See </w:t>
      </w:r>
      <w:r>
        <w:rPr>
          <w:rFonts w:ascii="Arial" w:hAnsi="Arial" w:eastAsia="Arial"/>
          <w:strike w:val="false"/>
          <w:color w:val="000000"/>
          <w:spacing w:val="0"/>
          <w:w w:val="100"/>
          <w:sz w:val="26"/>
          <w:vertAlign w:val="baseline"/>
          <w:lang w:val="en-US"/>
        </w:rPr>
        <w:t xml:space="preserve">Penal Law § 15.05(2). If necessary, an expanded definition of “knowingly” is available in the section on </w:t>
      </w:r>
      <w:r>
        <w:rPr>
          <w:rFonts w:ascii="Arial" w:hAnsi="Arial" w:eastAsia="Arial"/>
          <w:strike w:val="false"/>
          <w:color w:val="000000"/>
          <w:spacing w:val="0"/>
          <w:w w:val="100"/>
          <w:sz w:val="24"/>
          <w:vertAlign w:val="baseline"/>
          <w:lang w:val="en-US"/>
        </w:rPr>
        <w:t xml:space="preserve">Instructions of General Applicability </w:t>
      </w:r>
      <w:r>
        <w:rPr>
          <w:rFonts w:ascii="Arial" w:hAnsi="Arial" w:eastAsia="Arial"/>
          <w:strike w:val="false"/>
          <w:color w:val="000000"/>
          <w:spacing w:val="0"/>
          <w:w w:val="100"/>
          <w:sz w:val="26"/>
          <w:vertAlign w:val="baseline"/>
          <w:lang w:val="en-US"/>
        </w:rPr>
        <w:t xml:space="preserve">under Culpable Mental States.</w:t>
      </w:r>
    </w:p>
    <w:p>
      <w:pPr>
        <w:pageBreakBefore w:val="false"/>
        <w:spacing w:before="240" w:after="0" w:line="297"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2</w:t>
      </w:r>
    </w:p>
    <w:sectPr>
      <w:type w:val="nextPage"/>
      <w:pgSz w:w="12240" w:h="15840" w:orient="portrait"/>
      <w:pgMar w:bottom="1024" w:top="144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