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SIMULATION</w:t>
        <w:br/>
      </w:r>
      <w:r>
        <w:rPr>
          <w:rFonts w:ascii="Arial" w:hAnsi="Arial" w:eastAsia="Arial"/>
          <w:b w:val="true"/>
          <w:strike w:val="false"/>
          <w:color w:val="000000"/>
          <w:spacing w:val="0"/>
          <w:w w:val="100"/>
          <w:sz w:val="28"/>
          <w:vertAlign w:val="baseline"/>
          <w:lang w:val="en-US"/>
        </w:rPr>
        <w:t xml:space="preserve">(Knowingly Uttering or Possessing Simulated Object</w:t>
        <w:br/>
      </w:r>
      <w:r>
        <w:rPr>
          <w:rFonts w:ascii="Arial" w:hAnsi="Arial" w:eastAsia="Arial"/>
          <w:b w:val="true"/>
          <w:strike w:val="false"/>
          <w:color w:val="000000"/>
          <w:spacing w:val="0"/>
          <w:w w:val="100"/>
          <w:sz w:val="28"/>
          <w:vertAlign w:val="baseline"/>
          <w:lang w:val="en-US"/>
        </w:rPr>
        <w:t xml:space="preserve">with Intent to Defraud)</w:t>
        <w:br/>
      </w:r>
      <w:r>
        <w:rPr>
          <w:rFonts w:ascii="Arial" w:hAnsi="Arial" w:eastAsia="Arial"/>
          <w:b w:val="true"/>
          <w:strike w:val="false"/>
          <w:color w:val="000000"/>
          <w:spacing w:val="0"/>
          <w:w w:val="100"/>
          <w:sz w:val="28"/>
          <w:vertAlign w:val="baseline"/>
          <w:lang w:val="en-US"/>
        </w:rPr>
        <w:t xml:space="preserve">Penal Law § 170.45 (2)</w:t>
        <w:br/>
      </w:r>
      <w:r>
        <w:rPr>
          <w:rFonts w:ascii="Arial" w:hAnsi="Arial" w:eastAsia="Arial"/>
          <w:b w:val="true"/>
          <w:strike w:val="false"/>
          <w:color w:val="000000"/>
          <w:spacing w:val="0"/>
          <w:w w:val="100"/>
          <w:sz w:val="28"/>
          <w:vertAlign w:val="baseline"/>
          <w:lang w:val="en-US"/>
        </w:rPr>
        <w:t xml:space="preserve">(Committed on or After September 1, 1967)</w:t>
        <w:br/>
      </w:r>
      <w:r>
        <w:rPr>
          <w:rFonts w:ascii="Arial" w:hAnsi="Arial" w:eastAsia="Arial"/>
          <w:b w:val="true"/>
          <w:strike w:val="false"/>
          <w:color w:val="000000"/>
          <w:spacing w:val="0"/>
          <w:w w:val="100"/>
          <w:sz w:val="28"/>
          <w:vertAlign w:val="baseline"/>
          <w:lang w:val="en-US"/>
        </w:rPr>
        <w:t xml:space="preserve">(Revised June, 2013)</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661"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Simulation.</w:t>
      </w:r>
    </w:p>
    <w:p>
      <w:pPr>
        <w:pageBreakBefore w:val="false"/>
        <w:spacing w:before="321"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Simulation when, with knowledge of its true character and with intent to defraud, he or she utters or possesses an object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which has been made or altered in such manner that it appears to have an antiquity, rarity, source, or authorship, which it does not in fact possess.</w:t>
      </w:r>
    </w:p>
    <w:p>
      <w:pPr>
        <w:pageBreakBefore w:val="false"/>
        <w:spacing w:before="351" w:after="772" w:line="30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56" w:after="0" w:line="277" w:lineRule="exact"/>
        <w:ind w:right="0" w:left="0" w:firstLine="720"/>
        <w:jc w:val="both"/>
        <w:textAlignment w:val="baseline"/>
        <w:rPr>
          <w:rFonts w:ascii="Arial" w:hAnsi="Arial" w:eastAsia="Arial"/>
          <w:strike w:val="false"/>
          <w:color w:val="000000"/>
          <w:spacing w:val="-3"/>
          <w:w w:val="100"/>
          <w:sz w:val="14"/>
          <w:vertAlign w:val="superscript"/>
          <w:lang w:val="en-US"/>
        </w:rPr>
      </w:pPr>
      <w:r>
        <w:pict>
          <v:line strokeweight="1.2pt" strokecolor="#000000" from="108pt,421.45pt" to="252.05pt,421.45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1</w:t>
      </w:r>
      <w:r>
        <w:rPr>
          <w:rFonts w:ascii="Arial" w:hAnsi="Arial" w:eastAsia="Arial"/>
          <w:strike w:val="false"/>
          <w:color w:val="000000"/>
          <w:spacing w:val="-3"/>
          <w:w w:val="100"/>
          <w:sz w:val="24"/>
          <w:vertAlign w:val="baseline"/>
          <w:lang w:val="en-US"/>
        </w:rPr>
        <w:t xml:space="preserve"> The 2013 revision subdivided the second element, which contained the two culpable mental states of the crime, into two separate elements in order to emphasize that each culpable mental state must be proven beyond a reasonable doubt (</w:t>
      </w:r>
      <w:r>
        <w:rPr>
          <w:rFonts w:ascii="Arial" w:hAnsi="Arial" w:eastAsia="Arial"/>
          <w:i w:val="true"/>
          <w:strike w:val="false"/>
          <w:color w:val="000000"/>
          <w:spacing w:val="-3"/>
          <w:w w:val="100"/>
          <w:sz w:val="24"/>
          <w:vertAlign w:val="baseline"/>
          <w:lang w:val="en-US"/>
        </w:rPr>
        <w:t xml:space="preserve">see People v Bailey</w:t>
      </w:r>
      <w:r>
        <w:rPr>
          <w:rFonts w:ascii="Arial" w:hAnsi="Arial" w:eastAsia="Arial"/>
          <w:strike w:val="false"/>
          <w:color w:val="000000"/>
          <w:spacing w:val="-3"/>
          <w:w w:val="100"/>
          <w:sz w:val="24"/>
          <w:vertAlign w:val="baseline"/>
          <w:lang w:val="en-US"/>
        </w:rPr>
        <w:t xml:space="preserve">, 13 NY3d 67, 71-72 [2009] [“Knowledge and intent are two separate elements that must each be proven beyond a reasonable doubt by the People. Simply put, drawing the inference of defendant’s intent from his knowledge that the bills were counterfeit improperly shifts the burden of proof with respect to intent from the People to the defendant.”]).</w:t>
      </w:r>
    </w:p>
    <w:p>
      <w:pPr>
        <w:pageBreakBefore w:val="false"/>
        <w:spacing w:before="236"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At this point the statute concludes with the words: "so simulated." Those words are apparently a cross-reference to the words specified in subdivision one of the statute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170.45 [1]) that are set forth in this charge.</w:t>
      </w:r>
    </w:p>
    <w:p>
      <w:pPr>
        <w:pageBreakBefore w:val="false"/>
        <w:spacing w:before="233"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The term “utter” is not defined by statute or in case law. Black’s Law Dictionary (7</w:t>
      </w:r>
      <w:r>
        <w:rPr>
          <w:rFonts w:ascii="Arial" w:hAnsi="Arial" w:eastAsia="Arial"/>
          <w:strike w:val="false"/>
          <w:color w:val="000000"/>
          <w:spacing w:val="0"/>
          <w:w w:val="100"/>
          <w:sz w:val="24"/>
          <w:vertAlign w:val="superscript"/>
          <w:lang w:val="en-US"/>
        </w:rPr>
        <w:t xml:space="preserve">th</w:t>
      </w:r>
      <w:r>
        <w:rPr>
          <w:rFonts w:ascii="Arial" w:hAnsi="Arial" w:eastAsia="Arial"/>
          <w:strike w:val="false"/>
          <w:color w:val="000000"/>
          <w:spacing w:val="0"/>
          <w:w w:val="100"/>
          <w:sz w:val="24"/>
          <w:vertAlign w:val="baseline"/>
          <w:lang w:val="en-US"/>
        </w:rPr>
        <w:t xml:space="preserve"> ed 1999) defines the term as follows:</w:t>
      </w:r>
    </w:p>
    <w:p>
      <w:pPr>
        <w:pageBreakBefore w:val="false"/>
        <w:spacing w:before="278" w:after="0" w:line="277" w:lineRule="exact"/>
        <w:ind w:right="0" w:left="72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To say, express, or publish.... 2. To put or send (a document) into circulation; esp., to circulate (a forged note) as if genuine....” (Examples omitted).</w:t>
      </w:r>
    </w:p>
    <w:p>
      <w:pPr>
        <w:sectPr>
          <w:type w:val="nextPage"/>
          <w:pgSz w:w="12240" w:h="15840" w:orient="portrait"/>
          <w:pgMar w:bottom="1024" w:top="1440" w:right="2140" w:left="2160" w:header="720" w:footer="720"/>
          <w:titlePg w:val="false"/>
          <w:textDirection w:val="lrTb"/>
        </w:sectPr>
      </w:pPr>
    </w:p>
    <w:p>
      <w:pPr>
        <w:pageBreakBefore w:val="false"/>
        <w:spacing w:before="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defraud when that person's conscious objective or purpose is to do so.</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3" w:after="0" w:line="319"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5</w:t>
      </w:r>
      <w:r>
        <w:rPr>
          <w:rFonts w:ascii="Arial" w:hAnsi="Arial" w:eastAsia="Arial"/>
          <w:strike w:val="false"/>
          <w:color w:val="000000"/>
          <w:spacing w:val="-4"/>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6" w:after="0" w:line="324" w:lineRule="exact"/>
        <w:ind w:right="0" w:left="1440" w:hanging="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on or about </w:t>
      </w:r>
      <w:r>
        <w:rPr>
          <w:rFonts w:ascii="Arial" w:hAnsi="Arial" w:eastAsia="Arial"/>
          <w:i w:val="true"/>
          <w:strike w:val="false"/>
          <w:color w:val="000000"/>
          <w:spacing w:val="-3"/>
          <w:w w:val="100"/>
          <w:sz w:val="28"/>
          <w:u w:val="single"/>
          <w:vertAlign w:val="baseline"/>
          <w:lang w:val="en-US"/>
        </w:rPr>
        <w:t xml:space="preserve">(date)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in the County of </w:t>
      </w:r>
      <w:r>
        <w:rPr>
          <w:rFonts w:ascii="Arial" w:hAnsi="Arial" w:eastAsia="Arial"/>
          <w:i w:val="true"/>
          <w:strike w:val="false"/>
          <w:color w:val="000000"/>
          <w:spacing w:val="-3"/>
          <w:w w:val="100"/>
          <w:sz w:val="28"/>
          <w:u w:val="single"/>
          <w:vertAlign w:val="baseline"/>
          <w:lang w:val="en-US"/>
        </w:rPr>
        <w:t xml:space="preserve">(County)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the defendant, </w:t>
      </w:r>
      <w:r>
        <w:rPr>
          <w:rFonts w:ascii="Arial" w:hAnsi="Arial" w:eastAsia="Arial"/>
          <w:i w:val="true"/>
          <w:strike w:val="false"/>
          <w:color w:val="000000"/>
          <w:spacing w:val="-3"/>
          <w:w w:val="100"/>
          <w:sz w:val="28"/>
          <w:u w:val="single"/>
          <w:vertAlign w:val="baseline"/>
          <w:lang w:val="en-US"/>
        </w:rPr>
        <w:t xml:space="preserve">(defendant's name)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uttered or possessed a </w:t>
      </w:r>
      <w:r>
        <w:rPr>
          <w:rFonts w:ascii="Arial" w:hAnsi="Arial" w:eastAsia="Arial"/>
          <w:i w:val="true"/>
          <w:strike w:val="false"/>
          <w:color w:val="000000"/>
          <w:spacing w:val="-3"/>
          <w:w w:val="100"/>
          <w:sz w:val="28"/>
          <w:u w:val="single"/>
          <w:vertAlign w:val="baseline"/>
          <w:lang w:val="en-US"/>
        </w:rPr>
        <w:t xml:space="preserve">(name of object)</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which had been made or altered in such manner that it appeared to have an antiquity, rarity, source, or authorship, which it did not in fact possess; and</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knowledge of its true character; and</w:t>
      </w:r>
    </w:p>
    <w:p>
      <w:pPr>
        <w:pageBreakBefore w:val="false"/>
        <w:numPr>
          <w:ilvl w:val="0"/>
          <w:numId w:val="1"/>
        </w:numPr>
        <w:tabs>
          <w:tab w:val="clear" w:pos="720"/>
          <w:tab w:val="left" w:pos="1440"/>
        </w:tabs>
        <w:spacing w:before="331" w:after="0" w:line="31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defraud.</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557"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61" w:after="0" w:line="275"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7.65pt,587.3pt" to="252.05pt,587.3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 (1). If necessary, an expanded definition of “intent” is available in the section on General Instructions under Culpable Mental States.</w:t>
      </w:r>
    </w:p>
    <w:p>
      <w:pPr>
        <w:pageBreakBefore w:val="false"/>
        <w:spacing w:before="241" w:after="0" w:line="275"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10.00 (8). If necessary, an expanded definition of “possession” is available in the section on Instructions of General Applicability under Possession.</w:t>
      </w:r>
    </w:p>
    <w:p>
      <w:pPr>
        <w:pageBreakBefore w:val="false"/>
        <w:spacing w:before="243" w:after="0" w:line="275" w:lineRule="exact"/>
        <w:ind w:right="0" w:left="0" w:firstLine="0"/>
        <w:jc w:val="center"/>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w:t>
      </w:r>
    </w:p>
    <w:sectPr>
      <w:type w:val="nextPage"/>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3"/>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