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FORTUNE TELLING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165.35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328" w:after="0" w:line="323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Fortune Telling.</w:t>
      </w:r>
    </w:p>
    <w:p>
      <w:pPr>
        <w:pageBreakBefore w:val="false"/>
        <w:spacing w:before="31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Fortune Telling when, for a fee or compensation which he or she directly or indirectly solicits or receives, that person claims or pretends to tell fortunes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holds himself or herself out as being able, by claimed or pretended use of occult powers, to answer questions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give advice on personal matters)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exorcise, influence or affect evil spirits or curses)].</w:t>
      </w:r>
    </w:p>
    <w:p>
      <w:pPr>
        <w:pageBreakBefore w:val="false"/>
        <w:spacing w:before="331" w:after="0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strike w:val="false"/>
          <w:color w:val="000000"/>
          <w:spacing w:val="3"/>
          <w:w w:val="100"/>
          <w:sz w:val="28"/>
          <w:vertAlign w:val="baseline"/>
          <w:lang w:val="en-US"/>
        </w:rPr>
        <w:t xml:space="preserve">NOTE: Where appropriate, add:</w:t>
      </w:r>
    </w:p>
    <w:p>
      <w:pPr>
        <w:pageBreakBefore w:val="false"/>
        <w:spacing w:before="7" w:after="0" w:line="319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This charge does not apply to a person who engages in such conduct as part of a show or exhibition solely for the purpose of entertainment or amusement.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4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[each] of the following two [three]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, claimed or pretended to tell fortunes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held himself/herself out as being able, by claimed or pretended use of occult powers, to answer questions (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give advice on personal matters) (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exorcise, influence or affect evil spirits or curses)];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1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directly or indirectly solicited or received a fee or compensation for such conduct.</w:t>
      </w:r>
    </w:p>
    <w:p>
      <w:pPr>
        <w:pageBreakBefore w:val="false"/>
        <w:spacing w:before="331" w:after="733" w:line="31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NOTE: Where in issue, add:</w:t>
      </w:r>
    </w:p>
    <w:p>
      <w:pPr>
        <w:pageBreakBefore w:val="false"/>
        <w:spacing w:before="272" w:after="0" w:line="24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4"/>
          <w:vertAlign w:val="superscript"/>
          <w:lang w:val="en-US"/>
        </w:rPr>
      </w:pPr>
      <w:r>
        <w:pict>
          <v:line strokeweight="1.2pt" strokecolor="#000000" from="108pt,694.1pt" to="252.05pt,694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Penal Law § 165.35.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8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5"/>
          <w:w w:val="100"/>
          <w:sz w:val="28"/>
          <w:vertAlign w:val="baseline"/>
          <w:lang w:val="en-US"/>
        </w:rPr>
        <w:t xml:space="preserve">and</w:t>
      </w:r>
    </w:p>
    <w:p>
      <w:pPr>
        <w:pageBreakBefore w:val="false"/>
        <w:tabs>
          <w:tab w:val="right" w:leader="none" w:pos="7920"/>
        </w:tabs>
        <w:spacing w:before="334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3.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not engage in such conduct as</w:t>
      </w:r>
    </w:p>
    <w:p>
      <w:pPr>
        <w:pageBreakBefore w:val="false"/>
        <w:spacing w:before="0" w:after="0" w:line="324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part of a show or exhibition solely for the purpose of entertainment or amusement.]</w:t>
      </w:r>
    </w:p>
    <w:p>
      <w:pPr>
        <w:pageBreakBefore w:val="false"/>
        <w:spacing w:before="328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(each / both) of those elements, you must find the defendant guilty of this crime.</w:t>
      </w:r>
    </w:p>
    <w:p>
      <w:pPr>
        <w:pageBreakBefore w:val="false"/>
        <w:spacing w:before="323" w:after="8466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(either one / any one) or more of those elements, you must find the defendant not guilty of this crime.</w:t>
      </w:r>
    </w:p>
    <w:p>
      <w:pPr>
        <w:spacing w:before="323" w:after="8466" w:line="326" w:lineRule="exact"/>
        <w:sectPr>
          <w:type w:val="nextPage"/>
          <w:pgSz w:w="12240" w:h="15840" w:orient="portrait"/>
          <w:pgMar w:bottom="1024" w:top="1440" w:right="2140" w:left="2148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3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