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UNAUTHORIZED USE OF A VEHICLE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(Joyriding; Prior Joyriding Conviction)</w:t>
        <w:br/>
      </w:r>
      <w:r>
        <w:rPr>
          <w:rFonts w:ascii="Arial" w:hAnsi="Arial" w:eastAsia="Arial"/>
          <w:b w:val="true"/>
          <w:strike w:val="false"/>
          <w:color w:val="000000"/>
          <w:spacing w:val="0"/>
          <w:w w:val="100"/>
          <w:sz w:val="28"/>
          <w:vertAlign w:val="baseline"/>
          <w:lang w:val="en-US"/>
        </w:rPr>
        <w:t xml:space="preserve">Penal Law § 165.06</w:t>
        <w:br/>
      </w:r>
      <w:r>
        <w:rPr>
          <w:rFonts w:ascii="Arial" w:hAnsi="Arial" w:eastAsia="Arial"/>
          <w:b w:val="true"/>
          <w:strike w:val="false"/>
          <w:color w:val="000000"/>
          <w:spacing w:val="0"/>
          <w:w w:val="100"/>
          <w:sz w:val="28"/>
          <w:vertAlign w:val="baseline"/>
          <w:lang w:val="en-US"/>
        </w:rPr>
        <w:t xml:space="preserve">(Committed on or after Sept. 1, 1982)</w:t>
      </w:r>
    </w:p>
    <w:p>
      <w:pPr>
        <w:pageBreakBefore w:val="false"/>
        <w:spacing w:before="64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Unauthorized Use of a Vehicle in the Second Degree.</w:t>
      </w:r>
    </w:p>
    <w:p>
      <w:pPr>
        <w:pageBreakBefore w:val="false"/>
        <w:spacing w:before="306"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Unauthorized Use of a Vehicle in the Second Degree when,</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knowing that he or she does not have the consent of the owner, that person takes, operates, exercises control over, rides in or otherwise uses a vehicle.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57" w:after="0" w:line="31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6" w:after="526" w:line="325"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KNOWING that one does not have the consent of the owner means being aware that one does not have the consent of the</w:t>
      </w:r>
    </w:p>
    <w:p>
      <w:pPr>
        <w:pageBreakBefore w:val="false"/>
        <w:spacing w:before="317" w:after="0" w:line="260" w:lineRule="exact"/>
        <w:ind w:right="216" w:left="0" w:firstLine="360"/>
        <w:jc w:val="left"/>
        <w:textAlignment w:val="baseline"/>
        <w:rPr>
          <w:rFonts w:ascii="Arial" w:hAnsi="Arial" w:eastAsia="Arial"/>
          <w:strike w:val="false"/>
          <w:color w:val="000000"/>
          <w:spacing w:val="-3"/>
          <w:w w:val="100"/>
          <w:sz w:val="17"/>
          <w:vertAlign w:val="superscript"/>
          <w:lang w:val="en-US"/>
        </w:rPr>
      </w:pPr>
      <w:r>
        <w:pict>
          <v:line strokeweight="0.95pt" strokecolor="#000000" from="108pt,441.85pt" to="252.05pt,441.85pt" style="position:absolute;mso-position-horizontal-relative:page;mso-position-vertical-relative:page;">
            <v:stroke dashstyle="solid"/>
          </v:line>
        </w:pict>
      </w:r>
      <w:r>
        <w:rPr>
          <w:rFonts w:ascii="Arial" w:hAnsi="Arial" w:eastAsia="Arial"/>
          <w:strike w:val="false"/>
          <w:color w:val="000000"/>
          <w:spacing w:val="-3"/>
          <w:w w:val="100"/>
          <w:sz w:val="17"/>
          <w:vertAlign w:val="superscript"/>
          <w:lang w:val="en-US"/>
        </w:rPr>
        <w:t xml:space="preserve">1</w:t>
      </w:r>
      <w:r>
        <w:rPr>
          <w:rFonts w:ascii="Arial" w:hAnsi="Arial" w:eastAsia="Arial"/>
          <w:strike w:val="false"/>
          <w:color w:val="000000"/>
          <w:spacing w:val="-3"/>
          <w:w w:val="100"/>
          <w:sz w:val="23"/>
          <w:vertAlign w:val="baseline"/>
          <w:lang w:val="en-US"/>
        </w:rPr>
        <w:t xml:space="preserve">At this point, Penal Law § 165.06 reads: he/she "commits the crime of unauthorized use of a vehicle in the third degree as defined in subdivision one of section 165.05." The charge substitutes the language of that section.</w:t>
      </w:r>
    </w:p>
    <w:p>
      <w:pPr>
        <w:pageBreakBefore w:val="false"/>
        <w:spacing w:before="284" w:after="0" w:line="260" w:lineRule="exact"/>
        <w:ind w:right="0" w:left="360" w:firstLine="0"/>
        <w:jc w:val="left"/>
        <w:textAlignment w:val="baseline"/>
        <w:rPr>
          <w:rFonts w:ascii="Arial" w:hAnsi="Arial" w:eastAsia="Arial"/>
          <w:strike w:val="false"/>
          <w:color w:val="000000"/>
          <w:spacing w:val="-2"/>
          <w:w w:val="100"/>
          <w:sz w:val="17"/>
          <w:vertAlign w:val="superscript"/>
          <w:lang w:val="en-US"/>
        </w:rPr>
      </w:pPr>
      <w:r>
        <w:rPr>
          <w:rFonts w:ascii="Arial" w:hAnsi="Arial" w:eastAsia="Arial"/>
          <w:strike w:val="false"/>
          <w:color w:val="000000"/>
          <w:spacing w:val="-2"/>
          <w:w w:val="100"/>
          <w:sz w:val="17"/>
          <w:vertAlign w:val="superscript"/>
          <w:lang w:val="en-US"/>
        </w:rPr>
        <w:t xml:space="preserve">2</w:t>
      </w:r>
      <w:r>
        <w:rPr>
          <w:rFonts w:ascii="Arial" w:hAnsi="Arial" w:eastAsia="Arial"/>
          <w:strike w:val="false"/>
          <w:color w:val="000000"/>
          <w:spacing w:val="-2"/>
          <w:w w:val="100"/>
          <w:sz w:val="23"/>
          <w:vertAlign w:val="baseline"/>
          <w:lang w:val="en-US"/>
        </w:rPr>
        <w:t xml:space="preserve">An additional element of this crime is that the defendant:</w:t>
      </w:r>
    </w:p>
    <w:p>
      <w:pPr>
        <w:pageBreakBefore w:val="false"/>
        <w:spacing w:before="277" w:after="0" w:line="254" w:lineRule="exact"/>
        <w:ind w:right="0" w:left="0" w:firstLine="0"/>
        <w:jc w:val="center"/>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"has been previously convicted of the crime of unauthorized use</w:t>
        <w:br/>
      </w:r>
      <w:r>
        <w:rPr>
          <w:rFonts w:ascii="Arial" w:hAnsi="Arial" w:eastAsia="Arial"/>
          <w:strike w:val="false"/>
          <w:color w:val="000000"/>
          <w:spacing w:val="0"/>
          <w:w w:val="100"/>
          <w:sz w:val="23"/>
          <w:vertAlign w:val="baseline"/>
          <w:lang w:val="en-US"/>
        </w:rPr>
        <w:t xml:space="preserve">of a vehicle in the third degree as defined in subdivision one of</w:t>
      </w:r>
    </w:p>
    <w:p>
      <w:pPr>
        <w:pageBreakBefore w:val="false"/>
        <w:spacing w:before="0" w:after="0" w:line="260" w:lineRule="exact"/>
        <w:ind w:right="0" w:left="0" w:firstLine="0"/>
        <w:jc w:val="center"/>
        <w:textAlignment w:val="baseline"/>
        <w:rPr>
          <w:rFonts w:ascii="Arial" w:hAnsi="Arial" w:eastAsia="Arial"/>
          <w:strike w:val="false"/>
          <w:color w:val="000000"/>
          <w:spacing w:val="-2"/>
          <w:w w:val="100"/>
          <w:sz w:val="23"/>
          <w:vertAlign w:val="baseline"/>
          <w:lang w:val="en-US"/>
        </w:rPr>
      </w:pPr>
      <w:r>
        <w:rPr>
          <w:rFonts w:ascii="Arial" w:hAnsi="Arial" w:eastAsia="Arial"/>
          <w:strike w:val="false"/>
          <w:color w:val="000000"/>
          <w:spacing w:val="-2"/>
          <w:w w:val="100"/>
          <w:sz w:val="23"/>
          <w:vertAlign w:val="baseline"/>
          <w:lang w:val="en-US"/>
        </w:rPr>
        <w:t xml:space="preserve">section 165.05 or second degree within the preceding ten years."</w:t>
      </w:r>
    </w:p>
    <w:p>
      <w:pPr>
        <w:pageBreakBefore w:val="false"/>
        <w:spacing w:before="252" w:after="0" w:line="260" w:lineRule="exact"/>
        <w:ind w:right="144" w:left="0" w:firstLine="72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The defendant must be arraigned upon a special information alleging the previous conviction, in accordance with the procedure set forth in CPL § 200.60(3). If, upon such arraignment, the defendant admits the previous conviction, the court </w:t>
      </w:r>
      <w:r>
        <w:rPr>
          <w:rFonts w:ascii="Arial" w:hAnsi="Arial" w:eastAsia="Arial"/>
          <w:b w:val="true"/>
          <w:strike w:val="false"/>
          <w:color w:val="000000"/>
          <w:spacing w:val="0"/>
          <w:w w:val="100"/>
          <w:sz w:val="23"/>
          <w:vertAlign w:val="baseline"/>
          <w:lang w:val="en-US"/>
        </w:rPr>
        <w:t xml:space="preserve">must not make any reference to it in the definition of the crime or in listing its elements</w:t>
      </w:r>
      <w:r>
        <w:rPr>
          <w:rFonts w:ascii="Arial" w:hAnsi="Arial" w:eastAsia="Arial"/>
          <w:strike w:val="false"/>
          <w:color w:val="000000"/>
          <w:spacing w:val="0"/>
          <w:w w:val="100"/>
          <w:sz w:val="23"/>
          <w:vertAlign w:val="baseline"/>
          <w:lang w:val="en-US"/>
        </w:rPr>
        <w:t xml:space="preserve">. But if the defendant denies the previous conviction or remains mute, the court must add this element to the definition of the crime and the list of elements. </w:t>
      </w:r>
      <w:r>
        <w:rPr>
          <w:rFonts w:ascii="Arial" w:hAnsi="Arial" w:eastAsia="Arial"/>
          <w:i w:val="true"/>
          <w:strike w:val="false"/>
          <w:color w:val="000000"/>
          <w:spacing w:val="0"/>
          <w:w w:val="100"/>
          <w:sz w:val="23"/>
          <w:vertAlign w:val="baseline"/>
          <w:lang w:val="en-US"/>
        </w:rPr>
        <w:t xml:space="preserve">See, People v. Cooper, </w:t>
      </w:r>
      <w:r>
        <w:rPr>
          <w:rFonts w:ascii="Arial" w:hAnsi="Arial" w:eastAsia="Arial"/>
          <w:strike w:val="false"/>
          <w:color w:val="000000"/>
          <w:spacing w:val="0"/>
          <w:w w:val="100"/>
          <w:sz w:val="23"/>
          <w:vertAlign w:val="baseline"/>
          <w:lang w:val="en-US"/>
        </w:rPr>
        <w:t xml:space="preserve">78 NY2d 476 (1991).</w:t>
      </w:r>
    </w:p>
    <w:p>
      <w:pPr>
        <w:pageBreakBefore w:val="false"/>
        <w:spacing w:before="285" w:after="0" w:line="260" w:lineRule="exact"/>
        <w:ind w:right="0" w:left="360" w:firstLine="0"/>
        <w:jc w:val="left"/>
        <w:textAlignment w:val="baseline"/>
        <w:rPr>
          <w:rFonts w:ascii="Arial" w:hAnsi="Arial" w:eastAsia="Arial"/>
          <w:strike w:val="false"/>
          <w:color w:val="000000"/>
          <w:spacing w:val="-2"/>
          <w:w w:val="100"/>
          <w:sz w:val="17"/>
          <w:vertAlign w:val="superscript"/>
          <w:lang w:val="en-US"/>
        </w:rPr>
      </w:pPr>
      <w:r>
        <w:rPr>
          <w:rFonts w:ascii="Arial" w:hAnsi="Arial" w:eastAsia="Arial"/>
          <w:strike w:val="false"/>
          <w:color w:val="000000"/>
          <w:spacing w:val="-2"/>
          <w:w w:val="100"/>
          <w:sz w:val="17"/>
          <w:vertAlign w:val="superscript"/>
          <w:lang w:val="en-US"/>
        </w:rPr>
        <w:t xml:space="preserve">3</w:t>
      </w:r>
      <w:r>
        <w:rPr>
          <w:rFonts w:ascii="Arial" w:hAnsi="Arial" w:eastAsia="Arial"/>
          <w:strike w:val="false"/>
          <w:color w:val="000000"/>
          <w:spacing w:val="-2"/>
          <w:w w:val="100"/>
          <w:sz w:val="23"/>
          <w:vertAlign w:val="baseline"/>
          <w:lang w:val="en-US"/>
        </w:rPr>
        <w:t xml:space="preserve">If the term "vehicle" is in issue, </w:t>
      </w:r>
      <w:r>
        <w:rPr>
          <w:rFonts w:ascii="Arial" w:hAnsi="Arial" w:eastAsia="Arial"/>
          <w:i w:val="true"/>
          <w:strike w:val="false"/>
          <w:color w:val="000000"/>
          <w:spacing w:val="-2"/>
          <w:w w:val="100"/>
          <w:sz w:val="23"/>
          <w:vertAlign w:val="baseline"/>
          <w:lang w:val="en-US"/>
        </w:rPr>
        <w:t xml:space="preserve">see </w:t>
      </w:r>
      <w:r>
        <w:rPr>
          <w:rFonts w:ascii="Arial" w:hAnsi="Arial" w:eastAsia="Arial"/>
          <w:strike w:val="false"/>
          <w:color w:val="000000"/>
          <w:spacing w:val="-2"/>
          <w:w w:val="100"/>
          <w:sz w:val="23"/>
          <w:vertAlign w:val="baseline"/>
          <w:lang w:val="en-US"/>
        </w:rPr>
        <w:t xml:space="preserve">Penal Law § 10.00(14).</w:t>
      </w:r>
    </w:p>
    <w:p>
      <w:pPr>
        <w:sectPr>
          <w:type w:val="nextPage"/>
          <w:pgSz w:w="12240" w:h="15840" w:orient="portrait"/>
          <w:pgMar w:bottom="1004" w:top="1440" w:right="2140" w:left="2160" w:header="720" w:footer="0"/>
          <w:titlePg w:val="false"/>
          <w:textDirection w:val="lrTb"/>
        </w:sectPr>
      </w:pPr>
    </w:p>
    <w:p>
      <w:pPr>
        <w:pageBreakBefore w:val="false"/>
        <w:spacing w:before="82" w:after="0" w:line="323" w:lineRule="exact"/>
        <w:ind w:right="0" w:left="0" w:firstLine="0"/>
        <w:jc w:val="left"/>
        <w:textAlignment w:val="baseline"/>
        <w:rPr>
          <w:rFonts w:ascii="Arial" w:hAnsi="Arial" w:eastAsia="Arial"/>
          <w:strike w:val="false"/>
          <w:color w:val="000000"/>
          <w:spacing w:val="-9"/>
          <w:w w:val="100"/>
          <w:sz w:val="28"/>
          <w:vertAlign w:val="baseline"/>
          <w:lang w:val="en-US"/>
        </w:rPr>
      </w:pPr>
      <w:r>
        <w:pict>
          <v:line strokeweight="0.95pt" strokecolor="#000000" from="107.65pt,504pt" to="252.05pt,504pt" style="position:absolute;mso-position-horizontal-relative:page;mso-position-vertical-relative:page;">
            <v:stroke dashstyle="solid"/>
          </v:line>
        </w:pict>
      </w:r>
      <w:r>
        <w:rPr>
          <w:rFonts w:ascii="Arial" w:hAnsi="Arial" w:eastAsia="Arial"/>
          <w:strike w:val="false"/>
          <w:color w:val="000000"/>
          <w:spacing w:val="-9"/>
          <w:w w:val="100"/>
          <w:sz w:val="28"/>
          <w:vertAlign w:val="baseline"/>
          <w:lang w:val="en-US"/>
        </w:rPr>
        <w:t xml:space="preserve">owner.</w:t>
      </w:r>
      <w:r>
        <w:rPr>
          <w:rFonts w:ascii="Arial" w:hAnsi="Arial" w:eastAsia="Arial"/>
          <w:strike w:val="false"/>
          <w:color w:val="000000"/>
          <w:spacing w:val="-9"/>
          <w:w w:val="100"/>
          <w:sz w:val="28"/>
          <w:vertAlign w:val="superscript"/>
          <w:lang w:val="en-US"/>
        </w:rPr>
        <w:t xml:space="preserve">4</w:t>
      </w:r>
      <w:r>
        <w:rPr>
          <w:rFonts w:ascii="Arial" w:hAnsi="Arial" w:eastAsia="Arial"/>
          <w:strike w:val="false"/>
          <w:color w:val="000000"/>
          <w:spacing w:val="-9"/>
          <w:w w:val="100"/>
          <w:sz w:val="17"/>
          <w:vertAlign w:val="baseline"/>
          <w:lang w:val="en-US"/>
        </w:rPr>
        <w:t xml:space="preserve">
</w:t>
      </w:r>
    </w:p>
    <w:p>
      <w:pPr>
        <w:pageBreakBefore w:val="false"/>
        <w:spacing w:before="350"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who takes, operates, exercises control over, rides in or otherwise uses a vehicle without the owner's consent is presumed to know that he or she does not have such consent.</w:t>
      </w:r>
      <w:r>
        <w:rPr>
          <w:rFonts w:ascii="Arial" w:hAnsi="Arial" w:eastAsia="Arial"/>
          <w:strike w:val="false"/>
          <w:color w:val="000000"/>
          <w:spacing w:val="-4"/>
          <w:w w:val="100"/>
          <w:sz w:val="28"/>
          <w:vertAlign w:val="superscript"/>
          <w:lang w:val="en-US"/>
        </w:rPr>
        <w:t xml:space="preserve">5</w:t>
      </w:r>
      <w:r>
        <w:rPr>
          <w:rFonts w:ascii="Arial" w:hAnsi="Arial" w:eastAsia="Arial"/>
          <w:strike w:val="false"/>
          <w:color w:val="000000"/>
          <w:spacing w:val="-4"/>
          <w:w w:val="100"/>
          <w:sz w:val="28"/>
          <w:vertAlign w:val="baseline"/>
          <w:lang w:val="en-US"/>
        </w:rPr>
        <w:t xml:space="preserve"> This means that, if the People have proven beyond a reasonable doubt that the defendant took, operated, exercised control over, rode in or otherwise used a vehicle without the owner's consent, you may, but you are not required to, infer from that fact that the defendant knew that he/she did not have the owner's consent to do so.</w:t>
      </w:r>
    </w:p>
    <w:p>
      <w:pPr>
        <w:pageBreakBefore w:val="false"/>
        <w:spacing w:before="32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OWNER means a person who has a right to possess the vehicle which is superior to that of the person who takes, operates, exercises control over, rides in or otherwise uses it.</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33"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To OPERATE a vehicle means to drive it.</w:t>
      </w:r>
    </w:p>
    <w:p>
      <w:pPr>
        <w:pageBreakBefore w:val="false"/>
        <w:spacing w:before="330" w:after="0" w:line="323"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Add the following if there is an issue</w:t>
        <w:br/>
      </w:r>
      <w:r>
        <w:rPr>
          <w:rFonts w:ascii="Arial" w:hAnsi="Arial" w:eastAsia="Arial"/>
          <w:i w:val="true"/>
          <w:strike w:val="false"/>
          <w:color w:val="000000"/>
          <w:spacing w:val="0"/>
          <w:w w:val="100"/>
          <w:sz w:val="28"/>
          <w:vertAlign w:val="baseline"/>
          <w:lang w:val="en-US"/>
        </w:rPr>
        <w:t xml:space="preserve">as to operation:</w:t>
      </w:r>
    </w:p>
    <w:p>
      <w:pPr>
        <w:pageBreakBefore w:val="false"/>
        <w:spacing w:before="0" w:after="84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also OPERATES a vehicle when that person sits behind the wheel of a vehicle for the purpose of placing it in operation, and when either the vehicle is moving or the engine is running.</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28"/>
          <w:vertAlign w:val="baseline"/>
          <w:lang w:val="en-US"/>
        </w:rPr>
        <w:t xml:space="preserve">]</w:t>
      </w:r>
    </w:p>
    <w:p>
      <w:pPr>
        <w:pageBreakBefore w:val="false"/>
        <w:spacing w:before="0" w:after="0" w:line="567" w:lineRule="exact"/>
        <w:ind w:right="0" w:left="360" w:firstLine="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4</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15.05(2).</w:t>
        <w:br/>
      </w:r>
      <w:r>
        <w:rPr>
          <w:rFonts w:ascii="Arial" w:hAnsi="Arial" w:eastAsia="Arial"/>
          <w:strike w:val="false"/>
          <w:color w:val="000000"/>
          <w:spacing w:val="0"/>
          <w:w w:val="100"/>
          <w:sz w:val="17"/>
          <w:vertAlign w:val="superscript"/>
          <w:lang w:val="en-US"/>
        </w:rPr>
        <w:t xml:space="preserve">5</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165.05(1).</w:t>
      </w:r>
    </w:p>
    <w:p>
      <w:pPr>
        <w:pageBreakBefore w:val="false"/>
        <w:spacing w:before="306" w:after="0" w:line="260" w:lineRule="exact"/>
        <w:ind w:right="72" w:left="0" w:firstLine="36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6</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pageBreakBefore w:val="false"/>
        <w:spacing w:before="267" w:after="0" w:line="277" w:lineRule="exact"/>
        <w:ind w:right="504" w:left="0" w:firstLine="360"/>
        <w:jc w:val="both"/>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7</w:t>
      </w:r>
      <w:r>
        <w:rPr>
          <w:rFonts w:ascii="Arial" w:hAnsi="Arial" w:eastAsia="Arial"/>
          <w:i w:val="true"/>
          <w:strike w:val="false"/>
          <w:color w:val="000000"/>
          <w:spacing w:val="0"/>
          <w:w w:val="100"/>
          <w:sz w:val="23"/>
          <w:vertAlign w:val="baseline"/>
          <w:lang w:val="en-US"/>
        </w:rPr>
        <w:t xml:space="preserve">See People v Alamo</w:t>
      </w:r>
      <w:r>
        <w:rPr>
          <w:rFonts w:ascii="Arial" w:hAnsi="Arial" w:eastAsia="Arial"/>
          <w:strike w:val="false"/>
          <w:color w:val="000000"/>
          <w:spacing w:val="0"/>
          <w:w w:val="100"/>
          <w:sz w:val="23"/>
          <w:vertAlign w:val="baseline"/>
          <w:lang w:val="en-US"/>
        </w:rPr>
        <w:t xml:space="preserve">, 34 NY2d 453, 458 (1974); </w:t>
      </w:r>
      <w:r>
        <w:rPr>
          <w:rFonts w:ascii="Arial" w:hAnsi="Arial" w:eastAsia="Arial"/>
          <w:i w:val="true"/>
          <w:strike w:val="false"/>
          <w:color w:val="000000"/>
          <w:spacing w:val="0"/>
          <w:w w:val="100"/>
          <w:sz w:val="23"/>
          <w:vertAlign w:val="baseline"/>
          <w:lang w:val="en-US"/>
        </w:rPr>
        <w:t xml:space="preserve">People v Marriott</w:t>
      </w:r>
      <w:r>
        <w:rPr>
          <w:rFonts w:ascii="Arial" w:hAnsi="Arial" w:eastAsia="Arial"/>
          <w:strike w:val="false"/>
          <w:color w:val="000000"/>
          <w:spacing w:val="0"/>
          <w:w w:val="100"/>
          <w:sz w:val="23"/>
          <w:vertAlign w:val="baseline"/>
          <w:lang w:val="en-US"/>
        </w:rPr>
        <w:t xml:space="preserve">, 37 AD2d 868 (3d Dept 1971).</w:t>
      </w:r>
    </w:p>
    <w:p>
      <w:pPr>
        <w:sectPr>
          <w:footerReference w:type="default" r:id="fId0"/>
          <w:type w:val="nextPage"/>
          <w:pgSz w:w="12240" w:h="15840" w:orient="portrait"/>
          <w:pgMar w:bottom="1313" w:top="1340" w:right="2147" w:left="2153" w:header="720" w:footer="1493"/>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9" w:after="0" w:line="319" w:lineRule="exact"/>
        <w:ind w:right="0" w:left="1440" w:hanging="72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That on or about </w:t>
      </w:r>
      <w:r>
        <w:rPr>
          <w:rFonts w:ascii="Arial" w:hAnsi="Arial" w:eastAsia="Arial"/>
          <w:i w:val="true"/>
          <w:strike w:val="false"/>
          <w:color w:val="000000"/>
          <w:spacing w:val="-5"/>
          <w:w w:val="100"/>
          <w:sz w:val="23"/>
          <w:u w:val="single"/>
          <w:vertAlign w:val="baseline"/>
          <w:lang w:val="en-US"/>
        </w:rPr>
        <w:t xml:space="preserve"> (date) </w:t>
      </w:r>
      <w:r>
        <w:rPr>
          <w:rFonts w:ascii="Arial" w:hAnsi="Arial" w:eastAsia="Arial"/>
          <w:strike w:val="false"/>
          <w:color w:val="000000"/>
          <w:spacing w:val="-5"/>
          <w:w w:val="100"/>
          <w:sz w:val="28"/>
          <w:vertAlign w:val="baseline"/>
          <w:lang w:val="en-US"/>
        </w:rPr>
        <w:t xml:space="preserve"> , in the county of </w:t>
      </w:r>
      <w:r>
        <w:rPr>
          <w:rFonts w:ascii="Arial" w:hAnsi="Arial" w:eastAsia="Arial"/>
          <w:i w:val="true"/>
          <w:strike w:val="false"/>
          <w:color w:val="000000"/>
          <w:spacing w:val="-5"/>
          <w:w w:val="100"/>
          <w:sz w:val="23"/>
          <w:u w:val="single"/>
          <w:vertAlign w:val="baseline"/>
          <w:lang w:val="en-US"/>
        </w:rPr>
        <w:t xml:space="preserve"> (county) </w:t>
      </w:r>
      <w:r>
        <w:rPr>
          <w:rFonts w:ascii="Arial" w:hAnsi="Arial" w:eastAsia="Arial"/>
          <w:strike w:val="false"/>
          <w:color w:val="000000"/>
          <w:spacing w:val="-5"/>
          <w:w w:val="100"/>
          <w:sz w:val="28"/>
          <w:vertAlign w:val="baseline"/>
          <w:lang w:val="en-US"/>
        </w:rPr>
        <w:t xml:space="preserve"> , the</w:t>
      </w:r>
    </w:p>
    <w:p>
      <w:pPr>
        <w:pageBreakBefore w:val="false"/>
        <w:tabs>
          <w:tab w:val="left" w:leader="none" w:pos="3240"/>
        </w:tabs>
        <w:spacing w:before="0" w:after="0" w:line="324" w:lineRule="exact"/>
        <w:ind w:right="0" w:left="144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defendant, </w:t>
      </w:r>
      <w:r>
        <w:rPr>
          <w:rFonts w:ascii="Arial" w:hAnsi="Arial" w:eastAsia="Arial"/>
          <w:i w:val="true"/>
          <w:strike w:val="false"/>
          <w:color w:val="000000"/>
          <w:spacing w:val="0"/>
          <w:w w:val="100"/>
          <w:sz w:val="23"/>
          <w:u w:val="single"/>
          <w:vertAlign w:val="baseline"/>
          <w:lang w:val="en-US"/>
        </w:rPr>
        <w:tab/>
      </w:r>
      <w:r>
        <w:rPr>
          <w:rFonts w:ascii="Arial" w:hAnsi="Arial" w:eastAsia="Arial"/>
          <w:i w:val="true"/>
          <w:strike w:val="false"/>
          <w:color w:val="000000"/>
          <w:spacing w:val="0"/>
          <w:w w:val="100"/>
          <w:sz w:val="23"/>
          <w:u w:val="single"/>
          <w:vertAlign w:val="baseline"/>
          <w:lang w:val="en-US"/>
        </w:rPr>
        <w:t xml:space="preserve">(defendant's name) </w:t>
      </w:r>
      <w:r>
        <w:rPr>
          <w:rFonts w:ascii="Arial" w:hAnsi="Arial" w:eastAsia="Arial"/>
          <w:strike w:val="false"/>
          <w:color w:val="000000"/>
          <w:spacing w:val="0"/>
          <w:w w:val="100"/>
          <w:sz w:val="28"/>
          <w:vertAlign w:val="baseline"/>
          <w:lang w:val="en-US"/>
        </w:rPr>
        <w:t xml:space="preserve"> , took, operated, exercised control over, rode in or otherwise used a</w:t>
      </w:r>
    </w:p>
    <w:p>
      <w:pPr>
        <w:pageBreakBefore w:val="false"/>
        <w:spacing w:before="3" w:after="0" w:line="319"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vehicle without the owner's consent; and</w:t>
      </w:r>
    </w:p>
    <w:p>
      <w:pPr>
        <w:pageBreakBefore w:val="false"/>
        <w:numPr>
          <w:ilvl w:val="0"/>
          <w:numId w:val="1"/>
        </w:numPr>
        <w:tabs>
          <w:tab w:val="clear" w:pos="720"/>
          <w:tab w:val="left" w:pos="1440"/>
        </w:tabs>
        <w:spacing w:before="332" w:after="0" w:line="31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 that he/she did not have the owner's consent.</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17"/>
          <w:vertAlign w:val="baseline"/>
          <w:lang w:val="en-US"/>
        </w:rPr>
        <w:t xml:space="preserve">
</w:t>
      </w:r>
    </w:p>
    <w:p>
      <w:pPr>
        <w:pageBreakBefore w:val="false"/>
        <w:spacing w:before="33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3604"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33" w:after="3604" w:line="321" w:lineRule="exact"/>
        <w:sectPr>
          <w:type w:val="nextPage"/>
          <w:pgSz w:w="12240" w:h="15840" w:orient="portrait"/>
          <w:pgMar w:bottom="1313" w:top="1440" w:right="2145" w:left="2155" w:header="720" w:footer="1488"/>
          <w:titlePg w:val="false"/>
          <w:textDirection w:val="lrTb"/>
        </w:sectPr>
      </w:pPr>
    </w:p>
    <w:p>
      <w:pPr>
        <w:pageBreakBefore w:val="false"/>
        <w:spacing w:before="292" w:after="0" w:line="275" w:lineRule="exact"/>
        <w:ind w:right="216" w:left="216" w:firstLine="360"/>
        <w:jc w:val="both"/>
        <w:textAlignment w:val="baseline"/>
        <w:rPr>
          <w:rFonts w:ascii="Arial" w:hAnsi="Arial" w:eastAsia="Arial"/>
          <w:strike w:val="false"/>
          <w:color w:val="000000"/>
          <w:spacing w:val="0"/>
          <w:w w:val="100"/>
          <w:sz w:val="17"/>
          <w:vertAlign w:val="superscript"/>
          <w:lang w:val="en-US"/>
        </w:rPr>
      </w:pPr>
      <w:r>
        <w:pict>
          <v:line strokeweight="1.2pt" strokecolor="#000000" from="108pt,560.9pt" to="252.05pt,560.9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8</w:t>
      </w:r>
      <w:r>
        <w:rPr>
          <w:rFonts w:ascii="Arial" w:hAnsi="Arial" w:eastAsia="Arial"/>
          <w:strike w:val="false"/>
          <w:color w:val="000000"/>
          <w:spacing w:val="0"/>
          <w:w w:val="100"/>
          <w:sz w:val="23"/>
          <w:vertAlign w:val="baseline"/>
          <w:lang w:val="en-US"/>
        </w:rPr>
        <w:t xml:space="preserve">If the defendant has admitted the previous conviction, then list </w:t>
      </w:r>
      <w:r>
        <w:rPr>
          <w:rFonts w:ascii="Arial" w:hAnsi="Arial" w:eastAsia="Arial"/>
          <w:i w:val="true"/>
          <w:strike w:val="false"/>
          <w:color w:val="000000"/>
          <w:spacing w:val="0"/>
          <w:w w:val="100"/>
          <w:sz w:val="23"/>
          <w:vertAlign w:val="baseline"/>
          <w:lang w:val="en-US"/>
        </w:rPr>
        <w:t xml:space="preserve">only </w:t>
      </w:r>
      <w:r>
        <w:rPr>
          <w:rFonts w:ascii="Arial" w:hAnsi="Arial" w:eastAsia="Arial"/>
          <w:strike w:val="false"/>
          <w:color w:val="000000"/>
          <w:spacing w:val="0"/>
          <w:w w:val="100"/>
          <w:sz w:val="23"/>
          <w:vertAlign w:val="baseline"/>
          <w:lang w:val="en-US"/>
        </w:rPr>
        <w:t xml:space="preserve">the first two elements for the jury.</w:t>
      </w:r>
    </w:p>
    <w:p>
      <w:pPr>
        <w:pageBreakBefore w:val="false"/>
        <w:spacing w:before="260" w:after="0" w:line="254" w:lineRule="exact"/>
        <w:ind w:right="216" w:left="216"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If the defendant has denied the previous conviction or has remained mute, add the following:</w:t>
      </w:r>
    </w:p>
    <w:p>
      <w:pPr>
        <w:pageBreakBefore w:val="false"/>
        <w:spacing w:before="263" w:after="0" w:line="269" w:lineRule="exact"/>
        <w:ind w:right="360" w:left="936" w:firstLine="0"/>
        <w:jc w:val="left"/>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"and 3. That the defendant had been convicted of the crime of Unauthorized Use of a Motor Vehicle in the Third [</w:t>
      </w:r>
      <w:r>
        <w:rPr>
          <w:rFonts w:ascii="Arial" w:hAnsi="Arial" w:eastAsia="Arial"/>
          <w:b w:val="true"/>
          <w:i w:val="true"/>
          <w:strike w:val="false"/>
          <w:color w:val="000000"/>
          <w:spacing w:val="0"/>
          <w:w w:val="100"/>
          <w:sz w:val="23"/>
          <w:vertAlign w:val="baseline"/>
          <w:lang w:val="en-US"/>
        </w:rPr>
        <w:t xml:space="preserve">or </w:t>
      </w:r>
      <w:r>
        <w:rPr>
          <w:rFonts w:ascii="Arial" w:hAnsi="Arial" w:eastAsia="Arial"/>
          <w:b w:val="true"/>
          <w:strike w:val="false"/>
          <w:color w:val="000000"/>
          <w:spacing w:val="0"/>
          <w:w w:val="100"/>
          <w:sz w:val="23"/>
          <w:vertAlign w:val="baseline"/>
          <w:lang w:val="en-US"/>
        </w:rPr>
        <w:t xml:space="preserve">Second] Degree within the preceding ten years."</w:t>
      </w:r>
    </w:p>
    <w:sectPr>
      <w:type w:val="continuous"/>
      <w:pgSz w:w="12240" w:h="15840" w:orient="portrait"/>
      <w:pgMar w:bottom="1313" w:top="1440" w:right="2359" w:left="1941"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2"/>
      </w:tabs>
      <w:spacing w:before="0" w:after="0" w:line="271"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5"/>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