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ARSON IN THE FIFTH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150.01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2001)</w:t>
      </w:r>
    </w:p>
    <w:p>
      <w:pPr>
        <w:pageBreakBefore w:val="false"/>
        <w:spacing w:before="650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Arson in the Fifth Degree.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Arson in the Fifth Degree when he or she intentionally damages property of another without the consent of the owner by intentionally starting a fire or causing an explosion.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1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Intent means conscious objective or purpose. Thus, a person INTENTIONALLY damages property by INTENTIONALLY starting a fire or causing an explosion when that person’s conscious objective or purpose is to cause such damage by that means.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A person DAMAGES PROPERTY when that person causes the slightest damage to property. Even proof of damage short of burning, such as charring, is sufficient to establish damage. 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5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31" w:after="0" w:line="323" w:lineRule="exact"/>
        <w:ind w:right="0" w:left="216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in the county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the defendant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damaged the property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without the owner’s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consent; and,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8" w:after="541" w:line="319" w:lineRule="exact"/>
        <w:ind w:right="0" w:left="2160" w:hanging="720"/>
        <w:jc w:val="both"/>
        <w:textAlignment w:val="baseline"/>
        <w:rPr>
          <w:rFonts w:ascii="Arial" w:hAnsi="Arial" w:eastAsia="Arial"/>
          <w:color w:val="000000"/>
          <w:spacing w:val="1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2"/>
          <w:w w:val="100"/>
          <w:sz w:val="28"/>
          <w:vertAlign w:val="baseline"/>
          <w:lang w:val="en-US"/>
        </w:rPr>
        <w:t xml:space="preserve">That the defendant did so intentionally by</w:t>
      </w:r>
    </w:p>
    <w:p>
      <w:pPr>
        <w:pageBreakBefore w:val="false"/>
        <w:spacing w:before="242" w:after="0" w:line="28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68.15pt" to="252.05pt,668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§15.05(1).</w:t>
      </w:r>
    </w:p>
    <w:p>
      <w:pPr>
        <w:pageBreakBefore w:val="false"/>
        <w:spacing w:before="230" w:after="0" w:line="28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68 N.Y.2d 1 (1986).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21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intentionally starting a fire [or causing an explosion].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9427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9427" w:line="324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