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1"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CRIMINAL MISCHIEF IN THE SECOND DEGREE</w:t>
        <w:br/>
      </w:r>
      <w:r>
        <w:rPr>
          <w:rFonts w:ascii="Arial" w:hAnsi="Arial" w:eastAsia="Arial"/>
          <w:b w:val="true"/>
          <w:color w:val="000000"/>
          <w:spacing w:val="0"/>
          <w:w w:val="100"/>
          <w:sz w:val="28"/>
          <w:vertAlign w:val="baseline"/>
          <w:lang w:val="en-US"/>
        </w:rPr>
        <w:t xml:space="preserve">(Intentionally Damaging Another's Property;</w:t>
        <w:br/>
      </w:r>
      <w:r>
        <w:rPr>
          <w:rFonts w:ascii="Arial" w:hAnsi="Arial" w:eastAsia="Arial"/>
          <w:b w:val="true"/>
          <w:color w:val="000000"/>
          <w:spacing w:val="0"/>
          <w:w w:val="100"/>
          <w:sz w:val="28"/>
          <w:vertAlign w:val="baseline"/>
          <w:lang w:val="en-US"/>
        </w:rPr>
        <w:t xml:space="preserve">Amount More Than $1,500)</w:t>
        <w:br/>
      </w:r>
      <w:r>
        <w:rPr>
          <w:rFonts w:ascii="Arial" w:hAnsi="Arial" w:eastAsia="Arial"/>
          <w:b w:val="true"/>
          <w:color w:val="000000"/>
          <w:spacing w:val="0"/>
          <w:w w:val="100"/>
          <w:sz w:val="28"/>
          <w:vertAlign w:val="baseline"/>
          <w:lang w:val="en-US"/>
        </w:rPr>
        <w:t xml:space="preserve">Penal Law § 145.10</w:t>
        <w:br/>
      </w:r>
      <w:r>
        <w:rPr>
          <w:rFonts w:ascii="Arial" w:hAnsi="Arial" w:eastAsia="Arial"/>
          <w:b w:val="true"/>
          <w:color w:val="000000"/>
          <w:spacing w:val="0"/>
          <w:w w:val="100"/>
          <w:sz w:val="28"/>
          <w:vertAlign w:val="baseline"/>
          <w:lang w:val="en-US"/>
        </w:rPr>
        <w:t xml:space="preserve">(Committed on or after Sept 1, 1971)</w:t>
        <w:br/>
      </w:r>
      <w:r>
        <w:rPr>
          <w:rFonts w:ascii="Arial" w:hAnsi="Arial" w:eastAsia="Arial"/>
          <w:b w:val="true"/>
          <w:color w:val="000000"/>
          <w:spacing w:val="0"/>
          <w:w w:val="100"/>
          <w:sz w:val="28"/>
          <w:vertAlign w:val="baseline"/>
          <w:lang w:val="en-US"/>
        </w:rPr>
        <w:t xml:space="preserve">(Revised January 5, 2009)</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16"/>
          <w:vertAlign w:val="baseline"/>
          <w:lang w:val="en-US"/>
        </w:rPr>
        <w:t xml:space="preserve"></w:t>
        <w:br/>
      </w:r>
      <w:r>
        <w:rPr>
          <w:rFonts w:ascii="Arial" w:hAnsi="Arial" w:eastAsia="Arial"/>
          <w:b w:val="true"/>
          <w:color w:val="000000"/>
          <w:spacing w:val="0"/>
          <w:w w:val="100"/>
          <w:sz w:val="28"/>
          <w:vertAlign w:val="baseline"/>
          <w:lang w:val="en-US"/>
        </w:rPr>
        <w:t xml:space="preserve">(Revised December 17, 2009)</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17"/>
          <w:vertAlign w:val="baseline"/>
          <w:lang w:val="en-US"/>
        </w:rPr>
        <w:t xml:space="preserve">
</w:t>
      </w:r>
    </w:p>
    <w:p>
      <w:pPr>
        <w:pageBreakBefore w:val="false"/>
        <w:spacing w:before="650" w:after="0" w:line="326"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Criminal Mischief in the Second Degree.</w:t>
      </w:r>
    </w:p>
    <w:p>
      <w:pPr>
        <w:pageBreakBefore w:val="false"/>
        <w:spacing w:before="326" w:after="0" w:line="324"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Under our law, a person, is guilty of Criminal Mischief in the Second Degree when with intent to damage property of another person, and having no right to do so nor any reasonable ground to believe that he or she has such right, that person damages property of another person in an amount exceeding one thousand five hundred dollars ($1,500.00).</w:t>
      </w:r>
    </w:p>
    <w:p>
      <w:pPr>
        <w:pageBreakBefore w:val="false"/>
        <w:spacing w:before="318" w:after="0" w:line="326"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has/have a special meaning:</w:t>
      </w:r>
    </w:p>
    <w:p>
      <w:pPr>
        <w:pageBreakBefore w:val="false"/>
        <w:spacing w:before="322"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INTENT means conscious objective or purpose.</w:t>
      </w:r>
      <w:r>
        <w:rPr>
          <w:rFonts w:ascii="Arial" w:hAnsi="Arial" w:eastAsia="Arial"/>
          <w:color w:val="000000"/>
          <w:spacing w:val="0"/>
          <w:w w:val="100"/>
          <w:sz w:val="28"/>
          <w:vertAlign w:val="superscript"/>
          <w:lang w:val="en-US"/>
        </w:rPr>
        <w:t xml:space="preserve">3</w:t>
      </w:r>
      <w:r>
        <w:rPr>
          <w:rFonts w:ascii="Arial" w:hAnsi="Arial" w:eastAsia="Arial"/>
          <w:color w:val="000000"/>
          <w:spacing w:val="0"/>
          <w:w w:val="100"/>
          <w:sz w:val="28"/>
          <w:vertAlign w:val="baseline"/>
          <w:lang w:val="en-US"/>
        </w:rPr>
        <w:t xml:space="preserve"> Thus, a person intends to damage property of another person when his or her conscious objective or purpose is to damage property of another person.</w:t>
      </w:r>
    </w:p>
    <w:p>
      <w:pPr>
        <w:pageBreakBefore w:val="false"/>
        <w:spacing w:before="324" w:after="503" w:line="324"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[PROPERTY OF ANOTHER includes all property in which another person has an ownership interest, whether or not a person who damages the property, or any other person, may also</w:t>
      </w:r>
    </w:p>
    <w:p>
      <w:pPr>
        <w:pageBreakBefore w:val="false"/>
        <w:spacing w:before="257" w:after="0" w:line="275" w:lineRule="exact"/>
        <w:ind w:right="0" w:left="0" w:firstLine="720"/>
        <w:jc w:val="both"/>
        <w:textAlignment w:val="baseline"/>
        <w:rPr>
          <w:rFonts w:ascii="Arial" w:hAnsi="Arial" w:eastAsia="Arial"/>
          <w:color w:val="000000"/>
          <w:spacing w:val="0"/>
          <w:w w:val="100"/>
          <w:sz w:val="14"/>
          <w:vertAlign w:val="superscript"/>
          <w:lang w:val="en-US"/>
        </w:rPr>
      </w:pPr>
      <w:r>
        <w:pict>
          <v:line strokeweight="1.2pt" strokecolor="#000000" from="108pt,587.3pt" to="252.05pt,587.3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1</w:t>
      </w:r>
      <w:r>
        <w:rPr>
          <w:rFonts w:ascii="Arial" w:hAnsi="Arial" w:eastAsia="Arial"/>
          <w:color w:val="000000"/>
          <w:spacing w:val="0"/>
          <w:w w:val="100"/>
          <w:sz w:val="24"/>
          <w:vertAlign w:val="baseline"/>
          <w:lang w:val="en-US"/>
        </w:rPr>
        <w:t xml:space="preserve"> This charge was revised in January, 2009 to incorporate the legislative enactment of a statutory definition of “property of another” (Penal Law § 145.13).</w:t>
      </w:r>
    </w:p>
    <w:p>
      <w:pPr>
        <w:pageBreakBefore w:val="false"/>
        <w:tabs>
          <w:tab w:val="right" w:leader="none" w:pos="7920"/>
        </w:tabs>
        <w:spacing w:before="240" w:after="0" w:line="275" w:lineRule="exact"/>
        <w:ind w:right="0" w:left="720" w:firstLine="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2</w:t>
      </w:r>
      <w:r>
        <w:rPr>
          <w:rFonts w:ascii="Arial" w:hAnsi="Arial" w:eastAsia="Arial"/>
          <w:color w:val="000000"/>
          <w:spacing w:val="0"/>
          <w:w w:val="100"/>
          <w:sz w:val="24"/>
          <w:vertAlign w:val="baseline"/>
          <w:lang w:val="en-US"/>
        </w:rPr>
        <w:tab/>
      </w:r>
      <w:r>
        <w:rPr>
          <w:rFonts w:ascii="Arial" w:hAnsi="Arial" w:eastAsia="Arial"/>
          <w:color w:val="000000"/>
          <w:spacing w:val="0"/>
          <w:w w:val="100"/>
          <w:sz w:val="24"/>
          <w:vertAlign w:val="baseline"/>
          <w:lang w:val="en-US"/>
        </w:rPr>
        <w:t xml:space="preserve">This charge was revised in December, 2009 to incorporate the</w:t>
      </w:r>
    </w:p>
    <w:p>
      <w:pPr>
        <w:pageBreakBefore w:val="false"/>
        <w:spacing w:before="6" w:after="0" w:line="275" w:lineRule="exact"/>
        <w:ind w:right="0" w:left="0" w:firstLine="0"/>
        <w:jc w:val="both"/>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legislative enactment of an amendment to the statutory definition of “property of another” (Penal Law § 145.13; L. 2009, c. 45, § 2).</w:t>
      </w:r>
    </w:p>
    <w:p>
      <w:pPr>
        <w:pageBreakBefore w:val="false"/>
        <w:spacing w:before="240" w:after="0" w:line="275" w:lineRule="exact"/>
        <w:ind w:right="0" w:left="720" w:firstLine="0"/>
        <w:jc w:val="left"/>
        <w:textAlignment w:val="baseline"/>
        <w:rPr>
          <w:rFonts w:ascii="Arial" w:hAnsi="Arial" w:eastAsia="Arial"/>
          <w:color w:val="000000"/>
          <w:spacing w:val="3"/>
          <w:w w:val="100"/>
          <w:sz w:val="14"/>
          <w:vertAlign w:val="superscript"/>
          <w:lang w:val="en-US"/>
        </w:rPr>
      </w:pPr>
      <w:r>
        <w:rPr>
          <w:rFonts w:ascii="Arial" w:hAnsi="Arial" w:eastAsia="Arial"/>
          <w:color w:val="000000"/>
          <w:spacing w:val="3"/>
          <w:w w:val="100"/>
          <w:sz w:val="14"/>
          <w:vertAlign w:val="superscript"/>
          <w:lang w:val="en-US"/>
        </w:rPr>
        <w:t xml:space="preserve">3</w:t>
      </w:r>
      <w:r>
        <w:rPr>
          <w:rFonts w:ascii="Arial" w:hAnsi="Arial" w:eastAsia="Arial"/>
          <w:i w:val="true"/>
          <w:color w:val="000000"/>
          <w:spacing w:val="3"/>
          <w:w w:val="100"/>
          <w:sz w:val="24"/>
          <w:vertAlign w:val="baseline"/>
          <w:lang w:val="en-US"/>
        </w:rPr>
        <w:t xml:space="preserve"> See </w:t>
      </w:r>
      <w:r>
        <w:rPr>
          <w:rFonts w:ascii="Arial" w:hAnsi="Arial" w:eastAsia="Arial"/>
          <w:color w:val="000000"/>
          <w:spacing w:val="3"/>
          <w:w w:val="100"/>
          <w:sz w:val="24"/>
          <w:vertAlign w:val="baseline"/>
          <w:lang w:val="en-US"/>
        </w:rPr>
        <w:t xml:space="preserve">Penal Law § 15.05(1).</w:t>
      </w:r>
    </w:p>
    <w:p>
      <w:pPr>
        <w:sectPr>
          <w:type w:val="nextPage"/>
          <w:pgSz w:w="12240" w:h="15840" w:orient="portrait"/>
          <w:pgMar w:bottom="1004" w:top="1440" w:right="2140" w:left="2160" w:header="720" w:footer="720"/>
          <w:titlePg w:val="false"/>
          <w:textDirection w:val="lrTb"/>
        </w:sectPr>
      </w:pPr>
    </w:p>
    <w:p>
      <w:pPr>
        <w:pageBreakBefore w:val="false"/>
        <w:spacing w:before="44" w:after="0" w:line="318" w:lineRule="exact"/>
        <w:ind w:right="0" w:left="0" w:firstLine="0"/>
        <w:jc w:val="left"/>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have an interest in the property.] </w:t>
      </w:r>
      <w:r>
        <w:rPr>
          <w:rFonts w:ascii="Arial" w:hAnsi="Arial" w:eastAsia="Arial"/>
          <w:color w:val="000000"/>
          <w:spacing w:val="-1"/>
          <w:w w:val="100"/>
          <w:sz w:val="28"/>
          <w:vertAlign w:val="superscript"/>
          <w:lang w:val="en-US"/>
        </w:rPr>
        <w:t xml:space="preserve">4</w:t>
      </w:r>
      <w:r>
        <w:rPr>
          <w:rFonts w:ascii="Arial" w:hAnsi="Arial" w:eastAsia="Arial"/>
          <w:color w:val="000000"/>
          <w:spacing w:val="-1"/>
          <w:w w:val="100"/>
          <w:sz w:val="17"/>
          <w:vertAlign w:val="baseline"/>
          <w:lang w:val="en-US"/>
        </w:rPr>
        <w:t xml:space="preserve">
</w:t>
      </w:r>
    </w:p>
    <w:p>
      <w:pPr>
        <w:pageBreakBefore w:val="false"/>
        <w:spacing w:before="343" w:after="0" w:line="31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amount of damage to property is determined by the cost of repair or the replacement of the property, whichever is less. </w:t>
      </w:r>
      <w:r>
        <w:rPr>
          <w:rFonts w:ascii="Arial" w:hAnsi="Arial" w:eastAsia="Arial"/>
          <w:color w:val="000000"/>
          <w:spacing w:val="0"/>
          <w:w w:val="100"/>
          <w:sz w:val="28"/>
          <w:vertAlign w:val="superscript"/>
          <w:lang w:val="en-US"/>
        </w:rPr>
        <w:t xml:space="preserve">5</w:t>
      </w:r>
      <w:r>
        <w:rPr>
          <w:rFonts w:ascii="Arial" w:hAnsi="Arial" w:eastAsia="Arial"/>
          <w:color w:val="000000"/>
          <w:spacing w:val="0"/>
          <w:w w:val="100"/>
          <w:sz w:val="17"/>
          <w:vertAlign w:val="baseline"/>
          <w:lang w:val="en-US"/>
        </w:rPr>
        <w:t xml:space="preserve">
</w:t>
      </w:r>
    </w:p>
    <w:p>
      <w:pPr>
        <w:pageBreakBefore w:val="false"/>
        <w:spacing w:before="348" w:after="0" w:line="321"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In order for you to find the defendant guilty of this crime, the People are required to prove, from all of the evidence in the case beyond a reasonable doubt, each of the following three elements:</w:t>
      </w:r>
    </w:p>
    <w:p>
      <w:pPr>
        <w:pageBreakBefore w:val="false"/>
        <w:numPr>
          <w:ilvl w:val="0"/>
          <w:numId w:val="1"/>
        </w:numPr>
        <w:tabs>
          <w:tab w:val="clear" w:pos="720"/>
          <w:tab w:val="left" w:pos="1440"/>
        </w:tabs>
        <w:spacing w:before="323" w:after="0" w:line="325"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w:t>
      </w:r>
      <w:r>
        <w:rPr>
          <w:rFonts w:ascii="Arial" w:hAnsi="Arial" w:eastAsia="Arial"/>
          <w:i w:val="true"/>
          <w:color w:val="000000"/>
          <w:spacing w:val="0"/>
          <w:w w:val="100"/>
          <w:sz w:val="23"/>
          <w:u w:val="single"/>
          <w:vertAlign w:val="baseline"/>
          <w:lang w:val="en-US"/>
        </w:rPr>
        <w:t xml:space="preserve"> (date) </w:t>
      </w:r>
      <w:r>
        <w:rPr>
          <w:rFonts w:ascii="Arial" w:hAnsi="Arial" w:eastAsia="Arial"/>
          <w:color w:val="000000"/>
          <w:spacing w:val="0"/>
          <w:w w:val="100"/>
          <w:sz w:val="28"/>
          <w:vertAlign w:val="baseline"/>
          <w:lang w:val="en-US"/>
        </w:rPr>
        <w:t xml:space="preserve"> , in the county of </w:t>
      </w:r>
      <w:r>
        <w:rPr>
          <w:rFonts w:ascii="Arial" w:hAnsi="Arial" w:eastAsia="Arial"/>
          <w:i w:val="true"/>
          <w:color w:val="000000"/>
          <w:spacing w:val="0"/>
          <w:w w:val="100"/>
          <w:sz w:val="23"/>
          <w:u w:val="single"/>
          <w:vertAlign w:val="baseline"/>
          <w:lang w:val="en-US"/>
        </w:rPr>
        <w:t xml:space="preserve"> (county)</w:t>
      </w:r>
      <w:r>
        <w:rPr>
          <w:rFonts w:ascii="Arial" w:hAnsi="Arial" w:eastAsia="Arial"/>
          <w:color w:val="000000"/>
          <w:spacing w:val="0"/>
          <w:w w:val="100"/>
          <w:sz w:val="28"/>
          <w:vertAlign w:val="baseline"/>
          <w:lang w:val="en-US"/>
        </w:rPr>
        <w:t xml:space="preserve">, the defendant, </w:t>
      </w:r>
      <w:r>
        <w:rPr>
          <w:rFonts w:ascii="Arial" w:hAnsi="Arial" w:eastAsia="Arial"/>
          <w:i w:val="true"/>
          <w:color w:val="000000"/>
          <w:spacing w:val="0"/>
          <w:w w:val="100"/>
          <w:sz w:val="23"/>
          <w:u w:val="single"/>
          <w:vertAlign w:val="baseline"/>
          <w:lang w:val="en-US"/>
        </w:rPr>
        <w:t xml:space="preserve"> (defendant's name) </w:t>
      </w:r>
      <w:r>
        <w:rPr>
          <w:rFonts w:ascii="Arial" w:hAnsi="Arial" w:eastAsia="Arial"/>
          <w:color w:val="000000"/>
          <w:spacing w:val="0"/>
          <w:w w:val="100"/>
          <w:sz w:val="28"/>
          <w:vertAlign w:val="baseline"/>
          <w:lang w:val="en-US"/>
        </w:rPr>
        <w:t xml:space="preserve"> , damaged property of another person in an amount exceeding one thousand five hundred dollars ($1,500);</w:t>
      </w:r>
    </w:p>
    <w:p>
      <w:pPr>
        <w:pageBreakBefore w:val="false"/>
        <w:numPr>
          <w:ilvl w:val="0"/>
          <w:numId w:val="1"/>
        </w:numPr>
        <w:tabs>
          <w:tab w:val="clear" w:pos="720"/>
          <w:tab w:val="left" w:pos="1440"/>
        </w:tabs>
        <w:spacing w:before="322" w:after="0" w:line="326"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with the intent to damage property of another person; and</w:t>
      </w:r>
    </w:p>
    <w:p>
      <w:pPr>
        <w:pageBreakBefore w:val="false"/>
        <w:numPr>
          <w:ilvl w:val="0"/>
          <w:numId w:val="1"/>
        </w:numPr>
        <w:tabs>
          <w:tab w:val="clear" w:pos="720"/>
          <w:tab w:val="left" w:pos="1440"/>
        </w:tabs>
        <w:spacing w:before="319"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had no right to cause such damage nor any reasonable ground to believe he/she had such right.</w:t>
      </w:r>
    </w:p>
    <w:p>
      <w:pPr>
        <w:pageBreakBefore w:val="false"/>
        <w:spacing w:before="333" w:after="0" w:line="321"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33" w:after="1142" w:line="321"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pageBreakBefore w:val="false"/>
        <w:spacing w:before="253" w:after="0" w:line="277" w:lineRule="exact"/>
        <w:ind w:right="0" w:left="0" w:firstLine="720"/>
        <w:jc w:val="both"/>
        <w:textAlignment w:val="baseline"/>
        <w:rPr>
          <w:rFonts w:ascii="Arial" w:hAnsi="Arial" w:eastAsia="Arial"/>
          <w:color w:val="000000"/>
          <w:spacing w:val="0"/>
          <w:w w:val="100"/>
          <w:sz w:val="14"/>
          <w:vertAlign w:val="superscript"/>
          <w:lang w:val="en-US"/>
        </w:rPr>
      </w:pPr>
      <w:r>
        <w:pict>
          <v:line strokeweight="1.2pt" strokecolor="#000000" from="107.85pt,599.75pt" to="252.05pt,599.75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4</w:t>
      </w:r>
      <w:r>
        <w:rPr>
          <w:rFonts w:ascii="Arial" w:hAnsi="Arial" w:eastAsia="Arial"/>
          <w:color w:val="000000"/>
          <w:spacing w:val="0"/>
          <w:w w:val="100"/>
          <w:sz w:val="24"/>
          <w:vertAlign w:val="baseline"/>
          <w:lang w:val="en-US"/>
        </w:rPr>
        <w:t xml:space="preserve"> Penal Law § 145.13. The modifying word “such” contained in the statute has been replaced here with “the” for clarity.</w:t>
      </w:r>
    </w:p>
    <w:p>
      <w:pPr>
        <w:pageBreakBefore w:val="false"/>
        <w:spacing w:before="242" w:after="0" w:line="277" w:lineRule="exact"/>
        <w:ind w:right="0" w:left="0" w:firstLine="72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5</w:t>
      </w:r>
      <w:r>
        <w:rPr>
          <w:rFonts w:ascii="Arial" w:hAnsi="Arial" w:eastAsia="Arial"/>
          <w:i w:val="true"/>
          <w:color w:val="000000"/>
          <w:spacing w:val="0"/>
          <w:w w:val="100"/>
          <w:sz w:val="24"/>
          <w:vertAlign w:val="baseline"/>
          <w:lang w:val="en-US"/>
        </w:rPr>
        <w:t xml:space="preserve"> See People v. Woodard</w:t>
      </w:r>
      <w:r>
        <w:rPr>
          <w:rFonts w:ascii="Arial" w:hAnsi="Arial" w:eastAsia="Arial"/>
          <w:color w:val="000000"/>
          <w:spacing w:val="0"/>
          <w:w w:val="100"/>
          <w:sz w:val="24"/>
          <w:vertAlign w:val="baseline"/>
          <w:lang w:val="en-US"/>
        </w:rPr>
        <w:t xml:space="preserve">, 148 A.D.2d 997 (4</w:t>
      </w:r>
      <w:r>
        <w:rPr>
          <w:rFonts w:ascii="Arial" w:hAnsi="Arial" w:eastAsia="Arial"/>
          <w:color w:val="000000"/>
          <w:spacing w:val="0"/>
          <w:w w:val="100"/>
          <w:sz w:val="24"/>
          <w:vertAlign w:val="superscript"/>
          <w:lang w:val="en-US"/>
        </w:rPr>
        <w:t xml:space="preserve">th</w:t>
      </w:r>
      <w:r>
        <w:rPr>
          <w:rFonts w:ascii="Arial" w:hAnsi="Arial" w:eastAsia="Arial"/>
          <w:color w:val="000000"/>
          <w:spacing w:val="0"/>
          <w:w w:val="100"/>
          <w:sz w:val="24"/>
          <w:vertAlign w:val="baseline"/>
          <w:lang w:val="en-US"/>
        </w:rPr>
        <w:t xml:space="preserve"> Dept. 1989); </w:t>
      </w:r>
      <w:r>
        <w:rPr>
          <w:rFonts w:ascii="Arial" w:hAnsi="Arial" w:eastAsia="Arial"/>
          <w:i w:val="true"/>
          <w:color w:val="000000"/>
          <w:spacing w:val="0"/>
          <w:w w:val="100"/>
          <w:sz w:val="24"/>
          <w:vertAlign w:val="baseline"/>
          <w:lang w:val="en-US"/>
        </w:rPr>
        <w:t xml:space="preserve">People v. Gina</w:t>
      </w:r>
      <w:r>
        <w:rPr>
          <w:rFonts w:ascii="Arial" w:hAnsi="Arial" w:eastAsia="Arial"/>
          <w:color w:val="000000"/>
          <w:spacing w:val="0"/>
          <w:w w:val="100"/>
          <w:sz w:val="24"/>
          <w:vertAlign w:val="baseline"/>
          <w:lang w:val="en-US"/>
        </w:rPr>
        <w:t xml:space="preserve">, 137 A.D.2d 555 (2</w:t>
      </w:r>
      <w:r>
        <w:rPr>
          <w:rFonts w:ascii="Arial" w:hAnsi="Arial" w:eastAsia="Arial"/>
          <w:color w:val="000000"/>
          <w:spacing w:val="0"/>
          <w:w w:val="100"/>
          <w:sz w:val="24"/>
          <w:vertAlign w:val="superscript"/>
          <w:lang w:val="en-US"/>
        </w:rPr>
        <w:t xml:space="preserve">nd</w:t>
      </w:r>
      <w:r>
        <w:rPr>
          <w:rFonts w:ascii="Arial" w:hAnsi="Arial" w:eastAsia="Arial"/>
          <w:color w:val="000000"/>
          <w:spacing w:val="0"/>
          <w:w w:val="100"/>
          <w:sz w:val="24"/>
          <w:vertAlign w:val="baseline"/>
          <w:lang w:val="en-US"/>
        </w:rPr>
        <w:t xml:space="preserve"> Dept. 1988); </w:t>
      </w:r>
      <w:r>
        <w:rPr>
          <w:rFonts w:ascii="Arial" w:hAnsi="Arial" w:eastAsia="Arial"/>
          <w:i w:val="true"/>
          <w:color w:val="000000"/>
          <w:spacing w:val="0"/>
          <w:w w:val="100"/>
          <w:sz w:val="24"/>
          <w:vertAlign w:val="baseline"/>
          <w:lang w:val="en-US"/>
        </w:rPr>
        <w:t xml:space="preserve">People v. Simpson</w:t>
      </w:r>
      <w:r>
        <w:rPr>
          <w:rFonts w:ascii="Arial" w:hAnsi="Arial" w:eastAsia="Arial"/>
          <w:color w:val="000000"/>
          <w:spacing w:val="0"/>
          <w:w w:val="100"/>
          <w:sz w:val="24"/>
          <w:vertAlign w:val="baseline"/>
          <w:lang w:val="en-US"/>
        </w:rPr>
        <w:t xml:space="preserve">, 132 A.D.2d 894 (3</w:t>
      </w:r>
      <w:r>
        <w:rPr>
          <w:rFonts w:ascii="Arial" w:hAnsi="Arial" w:eastAsia="Arial"/>
          <w:color w:val="000000"/>
          <w:spacing w:val="0"/>
          <w:w w:val="100"/>
          <w:sz w:val="24"/>
          <w:vertAlign w:val="superscript"/>
          <w:lang w:val="en-US"/>
        </w:rPr>
        <w:t xml:space="preserve">rd</w:t>
      </w:r>
      <w:r>
        <w:rPr>
          <w:rFonts w:ascii="Arial" w:hAnsi="Arial" w:eastAsia="Arial"/>
          <w:color w:val="000000"/>
          <w:spacing w:val="0"/>
          <w:w w:val="100"/>
          <w:sz w:val="24"/>
          <w:vertAlign w:val="baseline"/>
          <w:lang w:val="en-US"/>
        </w:rPr>
        <w:t xml:space="preserve"> Dept. 1987).</w:t>
      </w:r>
    </w:p>
    <w:p>
      <w:pPr>
        <w:pageBreakBefore w:val="false"/>
        <w:spacing w:before="252" w:after="0" w:line="297"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2</w:t>
      </w:r>
    </w:p>
    <w:sectPr>
      <w:type w:val="nextPage"/>
      <w:pgSz w:w="12240" w:h="15840" w:orient="portrait"/>
      <w:pgMar w:bottom="1024" w:top="1400" w:right="2143" w:left="2157"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