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MISCHIEF IN THE FOURTH DEGREE</w:t>
        <w:br/>
      </w:r>
      <w:r>
        <w:rPr>
          <w:rFonts w:ascii="Arial" w:hAnsi="Arial" w:eastAsia="Arial"/>
          <w:b w:val="true"/>
          <w:color w:val="000000"/>
          <w:spacing w:val="0"/>
          <w:w w:val="100"/>
          <w:sz w:val="28"/>
          <w:vertAlign w:val="baseline"/>
          <w:lang w:val="en-US"/>
        </w:rPr>
        <w:t xml:space="preserve">(Recklessly Damaging Property;</w:t>
        <w:br/>
      </w:r>
      <w:r>
        <w:rPr>
          <w:rFonts w:ascii="Arial" w:hAnsi="Arial" w:eastAsia="Arial"/>
          <w:b w:val="true"/>
          <w:color w:val="000000"/>
          <w:spacing w:val="0"/>
          <w:w w:val="100"/>
          <w:sz w:val="28"/>
          <w:vertAlign w:val="baseline"/>
          <w:lang w:val="en-US"/>
        </w:rPr>
        <w:t xml:space="preserve">Damage More Than $250)</w:t>
        <w:br/>
      </w:r>
      <w:r>
        <w:rPr>
          <w:rFonts w:ascii="Arial" w:hAnsi="Arial" w:eastAsia="Arial"/>
          <w:b w:val="true"/>
          <w:color w:val="000000"/>
          <w:spacing w:val="0"/>
          <w:w w:val="100"/>
          <w:sz w:val="28"/>
          <w:vertAlign w:val="baseline"/>
          <w:lang w:val="en-US"/>
        </w:rPr>
        <w:t xml:space="preserve">Penal Law § 145.00(3)</w:t>
        <w:br/>
      </w:r>
      <w:r>
        <w:rPr>
          <w:rFonts w:ascii="Arial" w:hAnsi="Arial" w:eastAsia="Arial"/>
          <w:b w:val="true"/>
          <w:color w:val="000000"/>
          <w:spacing w:val="0"/>
          <w:w w:val="100"/>
          <w:sz w:val="28"/>
          <w:vertAlign w:val="baseline"/>
          <w:lang w:val="en-US"/>
        </w:rPr>
        <w:t xml:space="preserve">(Committed on or after Sept. 1, 1983)</w:t>
        <w:br/>
      </w:r>
      <w:r>
        <w:rPr>
          <w:rFonts w:ascii="Arial" w:hAnsi="Arial" w:eastAsia="Arial"/>
          <w:b w:val="true"/>
          <w:color w:val="000000"/>
          <w:spacing w:val="0"/>
          <w:w w:val="100"/>
          <w:sz w:val="28"/>
          <w:vertAlign w:val="baseline"/>
          <w:lang w:val="en-US"/>
        </w:rPr>
        <w:t xml:space="preserve">(Revised January 5, 2009)</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br/>
      </w:r>
      <w:r>
        <w:rPr>
          <w:rFonts w:ascii="Arial" w:hAnsi="Arial" w:eastAsia="Arial"/>
          <w:b w:val="true"/>
          <w:color w:val="000000"/>
          <w:spacing w:val="0"/>
          <w:w w:val="100"/>
          <w:sz w:val="28"/>
          <w:vertAlign w:val="baseline"/>
          <w:lang w:val="en-US"/>
        </w:rPr>
        <w:t xml:space="preserve">(Revised December 17, 2009)</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650"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Mischief in the Fourth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Mischief in the Fourth Degree when that person, having no right to do so nor any reasonable ground to believe that he or she has such right, recklessly damages property of another in an amount exceeding two hundred fifty dollars ($250.00).</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has/have a special meaning:</w:t>
      </w:r>
    </w:p>
    <w:p>
      <w:pPr>
        <w:pageBreakBefore w:val="false"/>
        <w:spacing w:before="33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term “recklessly” as used in this definition has its own special meaning in our law. I will now give you the meaning of that term.</w:t>
      </w:r>
    </w:p>
    <w:p>
      <w:pPr>
        <w:pageBreakBefore w:val="false"/>
        <w:spacing w:before="33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RECKLESSLY damages property of another in an amount exceeding two hundred fifty dollars:</w:t>
      </w:r>
    </w:p>
    <w:p>
      <w:pPr>
        <w:pageBreakBefore w:val="false"/>
        <w:spacing w:before="324" w:after="699"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when that person does so by engaging in conduct which creates or contributes to a substantial and unjustifiable risk that such damage will occur, and</w:t>
      </w:r>
    </w:p>
    <w:p>
      <w:pPr>
        <w:pageBreakBefore w:val="false"/>
        <w:spacing w:before="252" w:after="0" w:line="278"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8pt,613.2pt" to="252.05pt,613.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This charge was revised in January, 2009 to incorporate the legislative enactment of a statutory definition of “property of another” (Penal Law § 145.13).</w:t>
      </w:r>
    </w:p>
    <w:p>
      <w:pPr>
        <w:pageBreakBefore w:val="false"/>
        <w:spacing w:before="231" w:after="0" w:line="278"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This charge was revised in December, 2009 to incorporate the legislative enactment of an amendment to the statutory definition of “property of another” (Penal Law § 145.13; L. 2009, c. 45, § 2).</w:t>
      </w:r>
    </w:p>
    <w:p>
      <w:pPr>
        <w:sectPr>
          <w:type w:val="nextPage"/>
          <w:pgSz w:w="12240" w:h="15840" w:orient="portrait"/>
          <w:pgMar w:bottom="1024" w:top="1440" w:right="2140" w:left="2160" w:header="720" w:footer="720"/>
          <w:titlePg w:val="false"/>
          <w:textDirection w:val="lrTb"/>
        </w:sectPr>
      </w:pPr>
    </w:p>
    <w:p>
      <w:pPr>
        <w:pageBreakBefore w:val="false"/>
        <w:spacing w:before="2"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when he or she is aware of and consciously disregards that risk, and</w:t>
      </w:r>
    </w:p>
    <w:p>
      <w:pPr>
        <w:pageBreakBefore w:val="false"/>
        <w:spacing w:before="318" w:after="0" w:line="325" w:lineRule="exact"/>
        <w:ind w:right="0" w:left="72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when the risk is of such nature and degree that disregarding it constitutes a gross deviation from the standard of conduct that a reasonable person would observe in the situation.</w:t>
      </w:r>
      <w:r>
        <w:rPr>
          <w:rFonts w:ascii="Arial" w:hAnsi="Arial" w:eastAsia="Arial"/>
          <w:color w:val="000000"/>
          <w:spacing w:val="-5"/>
          <w:w w:val="100"/>
          <w:sz w:val="28"/>
          <w:vertAlign w:val="superscript"/>
          <w:lang w:val="en-US"/>
        </w:rPr>
        <w:t xml:space="preserve">3</w:t>
      </w:r>
      <w:r>
        <w:rPr>
          <w:rFonts w:ascii="Arial" w:hAnsi="Arial" w:eastAsia="Arial"/>
          <w:color w:val="000000"/>
          <w:spacing w:val="-5"/>
          <w:w w:val="100"/>
          <w:sz w:val="17"/>
          <w:vertAlign w:val="baseline"/>
          <w:lang w:val="en-US"/>
        </w:rPr>
        <w:t xml:space="preserve">
</w:t>
      </w:r>
    </w:p>
    <w:p>
      <w:pPr>
        <w:pageBreakBefore w:val="false"/>
        <w:spacing w:before="334" w:after="0" w:line="317"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if appropriate:</w:t>
      </w:r>
    </w:p>
    <w:p>
      <w:pPr>
        <w:pageBreakBefore w:val="false"/>
        <w:spacing w:before="0" w:after="0" w:line="322"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creates such a risk but is unaware of it solely by reason of his or her voluntary intoxication also acts recklessly.</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293"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[PROPERTY OF ANOTHER includes all property in which another person has an ownership interest, whether or not a person who damages the property, or any other person, may also have an interest in the property.] </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8"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amount of damage to property is determined by the cost of repair or the replacement of the property, whichever is less.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4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tabs>
          <w:tab w:val="right" w:leader="none" w:pos="7920"/>
        </w:tabs>
        <w:spacing w:before="323"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w:t>
      </w:r>
    </w:p>
    <w:p>
      <w:pPr>
        <w:pageBreakBefore w:val="false"/>
        <w:spacing w:before="0" w:after="222" w:line="321" w:lineRule="exact"/>
        <w:ind w:right="0" w:left="0" w:firstLine="0"/>
        <w:jc w:val="righ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defendant, </w:t>
      </w:r>
      <w:r>
        <w:rPr>
          <w:rFonts w:ascii="Arial" w:hAnsi="Arial" w:eastAsia="Arial"/>
          <w:i w:val="true"/>
          <w:color w:val="000000"/>
          <w:spacing w:val="3"/>
          <w:w w:val="100"/>
          <w:sz w:val="23"/>
          <w:u w:val="single"/>
          <w:vertAlign w:val="baseline"/>
          <w:lang w:val="en-US"/>
        </w:rPr>
        <w:t xml:space="preserve"> (defendant's name) </w:t>
      </w:r>
      <w:r>
        <w:rPr>
          <w:rFonts w:ascii="Arial" w:hAnsi="Arial" w:eastAsia="Arial"/>
          <w:color w:val="000000"/>
          <w:spacing w:val="3"/>
          <w:w w:val="100"/>
          <w:sz w:val="28"/>
          <w:vertAlign w:val="baseline"/>
          <w:lang w:val="en-US"/>
        </w:rPr>
        <w:t xml:space="preserve"> , damaged property of</w:t>
      </w:r>
    </w:p>
    <w:p>
      <w:pPr>
        <w:pageBreakBefore w:val="false"/>
        <w:spacing w:before="256" w:after="0" w:line="277" w:lineRule="exact"/>
        <w:ind w:right="0" w:left="0" w:firstLine="0"/>
        <w:jc w:val="center"/>
        <w:textAlignment w:val="baseline"/>
        <w:rPr>
          <w:rFonts w:ascii="Arial" w:hAnsi="Arial" w:eastAsia="Arial"/>
          <w:color w:val="000000"/>
          <w:spacing w:val="2"/>
          <w:w w:val="100"/>
          <w:sz w:val="14"/>
          <w:vertAlign w:val="superscript"/>
          <w:lang w:val="en-US"/>
        </w:rPr>
      </w:pPr>
      <w:r>
        <w:pict>
          <v:line strokeweight="1.2pt" strokecolor="#000000" from="107.85pt,520.3pt" to="252.05pt,520.3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2</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15.05(3); </w:t>
      </w:r>
      <w:r>
        <w:rPr>
          <w:rFonts w:ascii="Arial" w:hAnsi="Arial" w:eastAsia="Arial"/>
          <w:i w:val="true"/>
          <w:color w:val="000000"/>
          <w:spacing w:val="2"/>
          <w:w w:val="100"/>
          <w:sz w:val="24"/>
          <w:vertAlign w:val="baseline"/>
          <w:lang w:val="en-US"/>
        </w:rPr>
        <w:t xml:space="preserve">People v. Boutin</w:t>
      </w:r>
      <w:r>
        <w:rPr>
          <w:rFonts w:ascii="Arial" w:hAnsi="Arial" w:eastAsia="Arial"/>
          <w:color w:val="000000"/>
          <w:spacing w:val="2"/>
          <w:w w:val="100"/>
          <w:sz w:val="24"/>
          <w:vertAlign w:val="baseline"/>
          <w:lang w:val="en-US"/>
        </w:rPr>
        <w:t xml:space="preserve">, 75 NY2d 692, 696 (1990).</w:t>
      </w:r>
    </w:p>
    <w:p>
      <w:pPr>
        <w:pageBreakBefore w:val="false"/>
        <w:spacing w:before="0" w:after="0" w:line="537" w:lineRule="exact"/>
        <w:ind w:right="0" w:left="36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15.05(3).</w:t>
        <w:br/>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145.13.</w:t>
      </w:r>
    </w:p>
    <w:p>
      <w:pPr>
        <w:pageBreakBefore w:val="false"/>
        <w:spacing w:before="236"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145.13. The modifying word “such” contained in the statute has been replaced here with “the” for clarity.</w:t>
      </w:r>
    </w:p>
    <w:p>
      <w:pPr>
        <w:pageBreakBefore w:val="false"/>
        <w:spacing w:before="241"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People v. Woodard</w:t>
      </w:r>
      <w:r>
        <w:rPr>
          <w:rFonts w:ascii="Arial" w:hAnsi="Arial" w:eastAsia="Arial"/>
          <w:color w:val="000000"/>
          <w:spacing w:val="0"/>
          <w:w w:val="100"/>
          <w:sz w:val="24"/>
          <w:vertAlign w:val="baseline"/>
          <w:lang w:val="en-US"/>
        </w:rPr>
        <w:t xml:space="preserve">, 148 A.D.2d 997 (4</w:t>
      </w:r>
      <w:r>
        <w:rPr>
          <w:rFonts w:ascii="Arial" w:hAnsi="Arial" w:eastAsia="Arial"/>
          <w:color w:val="000000"/>
          <w:spacing w:val="0"/>
          <w:w w:val="100"/>
          <w:sz w:val="24"/>
          <w:vertAlign w:val="superscript"/>
          <w:lang w:val="en-US"/>
        </w:rPr>
        <w:t xml:space="preserve">th</w:t>
      </w:r>
      <w:r>
        <w:rPr>
          <w:rFonts w:ascii="Arial" w:hAnsi="Arial" w:eastAsia="Arial"/>
          <w:color w:val="000000"/>
          <w:spacing w:val="0"/>
          <w:w w:val="100"/>
          <w:sz w:val="24"/>
          <w:vertAlign w:val="baseline"/>
          <w:lang w:val="en-US"/>
        </w:rPr>
        <w:t xml:space="preserve"> Dept. 1989); </w:t>
      </w:r>
      <w:r>
        <w:rPr>
          <w:rFonts w:ascii="Arial" w:hAnsi="Arial" w:eastAsia="Arial"/>
          <w:i w:val="true"/>
          <w:color w:val="000000"/>
          <w:spacing w:val="0"/>
          <w:w w:val="100"/>
          <w:sz w:val="24"/>
          <w:vertAlign w:val="baseline"/>
          <w:lang w:val="en-US"/>
        </w:rPr>
        <w:t xml:space="preserve">People v. Gina</w:t>
      </w:r>
      <w:r>
        <w:rPr>
          <w:rFonts w:ascii="Arial" w:hAnsi="Arial" w:eastAsia="Arial"/>
          <w:color w:val="000000"/>
          <w:spacing w:val="0"/>
          <w:w w:val="100"/>
          <w:sz w:val="24"/>
          <w:vertAlign w:val="baseline"/>
          <w:lang w:val="en-US"/>
        </w:rPr>
        <w:t xml:space="preserve">, 137 A.D.2d 555 (2</w:t>
      </w:r>
      <w:r>
        <w:rPr>
          <w:rFonts w:ascii="Arial" w:hAnsi="Arial" w:eastAsia="Arial"/>
          <w:color w:val="000000"/>
          <w:spacing w:val="0"/>
          <w:w w:val="100"/>
          <w:sz w:val="24"/>
          <w:vertAlign w:val="superscript"/>
          <w:lang w:val="en-US"/>
        </w:rPr>
        <w:t xml:space="preserve">nd</w:t>
      </w:r>
      <w:r>
        <w:rPr>
          <w:rFonts w:ascii="Arial" w:hAnsi="Arial" w:eastAsia="Arial"/>
          <w:color w:val="000000"/>
          <w:spacing w:val="0"/>
          <w:w w:val="100"/>
          <w:sz w:val="24"/>
          <w:vertAlign w:val="baseline"/>
          <w:lang w:val="en-US"/>
        </w:rPr>
        <w:t xml:space="preserve"> Dept. 1988); </w:t>
      </w:r>
      <w:r>
        <w:rPr>
          <w:rFonts w:ascii="Arial" w:hAnsi="Arial" w:eastAsia="Arial"/>
          <w:i w:val="true"/>
          <w:color w:val="000000"/>
          <w:spacing w:val="0"/>
          <w:w w:val="100"/>
          <w:sz w:val="24"/>
          <w:vertAlign w:val="baseline"/>
          <w:lang w:val="en-US"/>
        </w:rPr>
        <w:t xml:space="preserve">People v. Simpson</w:t>
      </w:r>
      <w:r>
        <w:rPr>
          <w:rFonts w:ascii="Arial" w:hAnsi="Arial" w:eastAsia="Arial"/>
          <w:color w:val="000000"/>
          <w:spacing w:val="0"/>
          <w:w w:val="100"/>
          <w:sz w:val="24"/>
          <w:vertAlign w:val="baseline"/>
          <w:lang w:val="en-US"/>
        </w:rPr>
        <w:t xml:space="preserve">, 132 A.D.2d 894 (3</w:t>
      </w:r>
      <w:r>
        <w:rPr>
          <w:rFonts w:ascii="Arial" w:hAnsi="Arial" w:eastAsia="Arial"/>
          <w:color w:val="000000"/>
          <w:spacing w:val="0"/>
          <w:w w:val="100"/>
          <w:sz w:val="24"/>
          <w:vertAlign w:val="superscript"/>
          <w:lang w:val="en-US"/>
        </w:rPr>
        <w:t xml:space="preserve">rd</w:t>
      </w:r>
      <w:r>
        <w:rPr>
          <w:rFonts w:ascii="Arial" w:hAnsi="Arial" w:eastAsia="Arial"/>
          <w:color w:val="000000"/>
          <w:spacing w:val="0"/>
          <w:w w:val="100"/>
          <w:sz w:val="24"/>
          <w:vertAlign w:val="baseline"/>
          <w:lang w:val="en-US"/>
        </w:rPr>
        <w:t xml:space="preserve"> Dept. 1987).</w:t>
      </w:r>
    </w:p>
    <w:p>
      <w:pPr>
        <w:pageBreakBefore w:val="false"/>
        <w:spacing w:before="25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3" w:left="2157" w:header="720" w:footer="720"/>
          <w:titlePg w:val="false"/>
          <w:textDirection w:val="lrTb"/>
        </w:sectPr>
      </w:pPr>
    </w:p>
    <w:p>
      <w:pPr>
        <w:pageBreakBefore w:val="false"/>
        <w:spacing w:before="0" w:after="0" w:line="32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another person in an amount exceeding two hundred fifty dollars; and</w:t>
      </w:r>
    </w:p>
    <w:p>
      <w:pPr>
        <w:pageBreakBefore w:val="false"/>
        <w:numPr>
          <w:ilvl w:val="0"/>
          <w:numId w:val="1"/>
        </w:numPr>
        <w:tabs>
          <w:tab w:val="clear" w:pos="720"/>
          <w:tab w:val="left" w:pos="1440"/>
        </w:tabs>
        <w:spacing w:before="329" w:after="0" w:line="319"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recklessly; and</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had no right to do so nor any reasonable ground to believe he/she had such right.</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7809"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7809" w:line="321" w:lineRule="exact"/>
        <w:sectPr>
          <w:type w:val="nextPage"/>
          <w:pgSz w:w="12240" w:h="15840" w:orient="portrait"/>
          <w:pgMar w:bottom="1024" w:top="1440" w:right="2142" w:left="2158"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continuous"/>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