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SECOND DEGREE</w:t>
        <w:br/>
      </w:r>
      <w:r>
        <w:rPr>
          <w:rFonts w:ascii="Arial" w:hAnsi="Arial" w:eastAsia="Arial"/>
          <w:b w:val="true"/>
          <w:color w:val="000000"/>
          <w:spacing w:val="0"/>
          <w:w w:val="100"/>
          <w:sz w:val="28"/>
          <w:vertAlign w:val="baseline"/>
          <w:lang w:val="en-US"/>
        </w:rPr>
        <w:t xml:space="preserve">(Dangerous Instrument)</w:t>
        <w:br/>
      </w:r>
      <w:r>
        <w:rPr>
          <w:rFonts w:ascii="Arial" w:hAnsi="Arial" w:eastAsia="Arial"/>
          <w:b w:val="true"/>
          <w:color w:val="000000"/>
          <w:spacing w:val="0"/>
          <w:w w:val="100"/>
          <w:sz w:val="28"/>
          <w:vertAlign w:val="baseline"/>
          <w:lang w:val="en-US"/>
        </w:rPr>
        <w:t xml:space="preserve">Penal Law § 140.25(1)(c)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2012 and 2013)</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6" w:after="0" w:line="326"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Second Degree.</w:t>
      </w:r>
    </w:p>
    <w:p>
      <w:pPr>
        <w:pageBreakBefore w:val="false"/>
        <w:spacing w:before="314" w:after="0" w:line="326"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Burglary in the Second Degree when that person knowingly enters [remains]</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unlawfully in a building with the intent to commit a crime therein, and when, in effecting entry or while in the building or in immediate flight therefrom, that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uses or threatens the immediate use of a dangerous instrument.</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569"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w:t>
      </w:r>
    </w:p>
    <w:p>
      <w:pPr>
        <w:pageBreakBefore w:val="false"/>
        <w:spacing w:before="282" w:after="0" w:line="276" w:lineRule="exact"/>
        <w:ind w:right="0" w:left="0" w:firstLine="720"/>
        <w:jc w:val="both"/>
        <w:textAlignment w:val="baseline"/>
        <w:rPr>
          <w:rFonts w:ascii="Arial" w:hAnsi="Arial" w:eastAsia="Arial"/>
          <w:color w:val="000000"/>
          <w:spacing w:val="-2"/>
          <w:w w:val="100"/>
          <w:sz w:val="14"/>
          <w:vertAlign w:val="superscript"/>
          <w:lang w:val="en-US"/>
        </w:rPr>
      </w:pPr>
      <w:r>
        <w:pict>
          <v:line strokeweight="1.2pt" strokecolor="#000000" from="108pt,459.85pt" to="252.05pt,459.8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January, 2012, revision was for the purpose of updating the elements to accord with decisional law. That law requires that where the defendant “threatens” the immediate use of a dangerous instrument, the People must prove that the defendant possessed that dangerous instrument at the time of the crime. </w:t>
      </w:r>
      <w:r>
        <w:rPr>
          <w:rFonts w:ascii="Arial" w:hAnsi="Arial" w:eastAsia="Arial"/>
          <w:i w:val="true"/>
          <w:color w:val="000000"/>
          <w:spacing w:val="-2"/>
          <w:w w:val="100"/>
          <w:sz w:val="24"/>
          <w:vertAlign w:val="baseline"/>
          <w:lang w:val="en-US"/>
        </w:rPr>
        <w:t xml:space="preserve">People v Ford</w:t>
      </w:r>
      <w:r>
        <w:rPr>
          <w:rFonts w:ascii="Arial" w:hAnsi="Arial" w:eastAsia="Arial"/>
          <w:color w:val="000000"/>
          <w:spacing w:val="-2"/>
          <w:w w:val="100"/>
          <w:sz w:val="24"/>
          <w:vertAlign w:val="baseline"/>
          <w:lang w:val="en-US"/>
        </w:rPr>
        <w:t xml:space="preserve">, 11 NY3d 875, 878 (2008); </w:t>
      </w:r>
      <w:r>
        <w:rPr>
          <w:rFonts w:ascii="Arial" w:hAnsi="Arial" w:eastAsia="Arial"/>
          <w:i w:val="true"/>
          <w:color w:val="000000"/>
          <w:spacing w:val="-2"/>
          <w:w w:val="100"/>
          <w:sz w:val="24"/>
          <w:vertAlign w:val="baseline"/>
          <w:lang w:val="en-US"/>
        </w:rPr>
        <w:t xml:space="preserve">People v Pena</w:t>
      </w:r>
      <w:r>
        <w:rPr>
          <w:rFonts w:ascii="Arial" w:hAnsi="Arial" w:eastAsia="Arial"/>
          <w:color w:val="000000"/>
          <w:spacing w:val="-2"/>
          <w:w w:val="100"/>
          <w:sz w:val="24"/>
          <w:vertAlign w:val="baseline"/>
          <w:lang w:val="en-US"/>
        </w:rPr>
        <w:t xml:space="preserve">, 50 NY2d 400, 407 (1980)</w:t>
      </w:r>
      <w:r>
        <w:rPr>
          <w:rFonts w:ascii="Arial" w:hAnsi="Arial" w:eastAsia="Arial"/>
          <w:color w:val="000000"/>
          <w:spacing w:val="-2"/>
          <w:w w:val="100"/>
          <w:sz w:val="26"/>
          <w:vertAlign w:val="baseline"/>
          <w:lang w:val="en-US"/>
        </w:rPr>
        <w:t xml:space="preserve">. </w:t>
      </w:r>
      <w:r>
        <w:rPr>
          <w:rFonts w:ascii="Arial" w:hAnsi="Arial" w:eastAsia="Arial"/>
          <w:i w:val="true"/>
          <w:color w:val="000000"/>
          <w:spacing w:val="-2"/>
          <w:w w:val="100"/>
          <w:sz w:val="24"/>
          <w:vertAlign w:val="baseline"/>
          <w:lang w:val="en-US"/>
        </w:rPr>
        <w:t xml:space="preserve">See also People v Grant</w:t>
      </w:r>
      <w:r>
        <w:rPr>
          <w:rFonts w:ascii="Arial" w:hAnsi="Arial" w:eastAsia="Arial"/>
          <w:color w:val="000000"/>
          <w:spacing w:val="-2"/>
          <w:w w:val="100"/>
          <w:sz w:val="24"/>
          <w:vertAlign w:val="baseline"/>
          <w:lang w:val="en-US"/>
        </w:rPr>
        <w:t xml:space="preserve">, 17 NY3d 613, 617-618 (2011) decided after the revision of this charge.</w:t>
      </w:r>
    </w:p>
    <w:p>
      <w:pPr>
        <w:pageBreakBefore w:val="false"/>
        <w:spacing w:before="3"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42" w:after="0" w:line="276"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3" w:after="0" w:line="313"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25" w:after="0" w:line="313"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4" w:after="0" w:line="313"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44" w:after="739" w:line="313"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2" w:after="0" w:line="275" w:lineRule="exact"/>
        <w:ind w:right="0" w:left="288" w:firstLine="0"/>
        <w:jc w:val="left"/>
        <w:textAlignment w:val="baseline"/>
        <w:rPr>
          <w:rFonts w:ascii="Arial" w:hAnsi="Arial" w:eastAsia="Arial"/>
          <w:color w:val="000000"/>
          <w:spacing w:val="0"/>
          <w:w w:val="100"/>
          <w:sz w:val="14"/>
          <w:vertAlign w:val="superscript"/>
          <w:lang w:val="en-US"/>
        </w:rPr>
      </w:pPr>
      <w:r>
        <w:pict>
          <v:line strokeweight="0.95pt" strokecolor="#000000" from="108pt,563.5pt" to="252.05pt,56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48" w:after="0" w:line="275"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39" w:after="0" w:line="275"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5"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footnote 1.</w:t>
      </w:r>
    </w:p>
    <w:p>
      <w:pPr>
        <w:pageBreakBefore w:val="false"/>
        <w:spacing w:before="247" w:after="247"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29"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25"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28"/>
          <w:vertAlign w:val="baseline"/>
          <w:lang w:val="en-US"/>
        </w:rPr>
        <w:t xml:space="preserve">]</w:t>
      </w:r>
    </w:p>
    <w:p>
      <w:pPr>
        <w:pageBreakBefore w:val="false"/>
        <w:spacing w:before="323"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 in a building unlawfully and does so with the intent to commit a crime in the building, regardless of whether that person ever commits, or even attempts to commit, any crime in the building.</w:t>
      </w:r>
    </w:p>
    <w:p>
      <w:pPr>
        <w:pageBreakBefore w:val="false"/>
        <w:spacing w:before="321" w:after="278" w:line="325" w:lineRule="exact"/>
        <w:ind w:right="0" w:left="0" w:firstLine="72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DANGEROUS INSTRUMENT means any instrument, article or substance (including a vehicle) which, under the circumstances in which it is used, attempted to be used, or threatened to be</w:t>
      </w:r>
    </w:p>
    <w:p>
      <w:pPr>
        <w:pageBreakBefore w:val="false"/>
        <w:spacing w:before="258" w:after="0" w:line="276" w:lineRule="exact"/>
        <w:ind w:right="0" w:left="288" w:firstLine="0"/>
        <w:jc w:val="left"/>
        <w:textAlignment w:val="baseline"/>
        <w:rPr>
          <w:rFonts w:ascii="Arial" w:hAnsi="Arial" w:eastAsia="Arial"/>
          <w:color w:val="000000"/>
          <w:spacing w:val="-1"/>
          <w:w w:val="100"/>
          <w:sz w:val="14"/>
          <w:vertAlign w:val="superscript"/>
          <w:lang w:val="en-US"/>
        </w:rPr>
      </w:pPr>
      <w:r>
        <w:pict>
          <v:line strokeweight="1.2pt" strokecolor="#000000" from="107.85pt,589.45pt" to="252.05pt,589.4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8"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43"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37" w:after="255"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used, is readily capable of causing death or other serious physical injury,</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28"/>
          <w:vertAlign w:val="baseline"/>
          <w:lang w:val="en-US"/>
        </w:rPr>
        <w:t xml:space="preserve"> that is, serious and protracted disfigurement, protracted impairment of health or protracted loss or impairment of the function of any bodily organ. </w:t>
      </w:r>
      <w:r>
        <w:rPr>
          <w:rFonts w:ascii="Arial" w:hAnsi="Arial" w:eastAsia="Arial"/>
          <w:color w:val="000000"/>
          <w:spacing w:val="-4"/>
          <w:w w:val="100"/>
          <w:sz w:val="28"/>
          <w:vertAlign w:val="superscript"/>
          <w:lang w:val="en-US"/>
        </w:rPr>
        <w:t xml:space="preserve">13</w:t>
      </w:r>
      <w:r>
        <w:rPr>
          <w:rFonts w:ascii="Arial" w:hAnsi="Arial" w:eastAsia="Arial"/>
          <w:color w:val="000000"/>
          <w:spacing w:val="-4"/>
          <w:w w:val="100"/>
          <w:sz w:val="28"/>
          <w:vertAlign w:val="baseline"/>
          <w:lang w:val="en-US"/>
        </w:rPr>
        <w:t xml:space="preserve"> Under that definition, death or other serious physical injury need not in fact be caused.</w:t>
      </w:r>
    </w:p>
    <w:p>
      <w:pPr>
        <w:pageBreakBefore w:val="false"/>
        <w:spacing w:before="328"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7" w:after="0" w:line="31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46" w:after="0" w:line="31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building;</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in effecting entry or while in the building or in immediate flight therefrom, the defendant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another participant in the crime] possessed a dangerous instrument and used or threatened the immediate use of that dangerous instrument.</w:t>
      </w:r>
    </w:p>
    <w:p>
      <w:pPr>
        <w:pageBreakBefore w:val="false"/>
        <w:spacing w:before="324" w:after="37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49" w:after="0" w:line="276" w:lineRule="exact"/>
        <w:ind w:right="0" w:left="360" w:firstLine="0"/>
        <w:jc w:val="left"/>
        <w:textAlignment w:val="baseline"/>
        <w:rPr>
          <w:rFonts w:ascii="Arial" w:hAnsi="Arial" w:eastAsia="Arial"/>
          <w:color w:val="000000"/>
          <w:spacing w:val="-1"/>
          <w:w w:val="100"/>
          <w:sz w:val="14"/>
          <w:vertAlign w:val="superscript"/>
          <w:lang w:val="en-US"/>
        </w:rPr>
      </w:pPr>
      <w:r>
        <w:pict>
          <v:line strokeweight="0.95pt" strokecolor="#000000" from="108pt,545.5pt" to="252.05pt,545.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12</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10.00(13).</w:t>
      </w:r>
    </w:p>
    <w:p>
      <w:pPr>
        <w:pageBreakBefore w:val="false"/>
        <w:spacing w:before="246"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10.00(10).</w:t>
      </w:r>
    </w:p>
    <w:p>
      <w:pPr>
        <w:pageBreakBefore w:val="false"/>
        <w:spacing w:before="237" w:after="0" w:line="280" w:lineRule="exact"/>
        <w:ind w:right="0" w:left="0" w:firstLine="36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14</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78" w:after="0" w:line="284"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4"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spacing w:before="2" w:after="11692"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1692" w:line="326" w:lineRule="exact"/>
        <w:sectPr>
          <w:type w:val="nextPage"/>
          <w:pgSz w:w="12240" w:h="15840" w:orient="portrait"/>
          <w:pgMar w:bottom="1024" w:top="1440" w:right="2147"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