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CUSTODIAL INTERFERENCE IN THE FIRST DEGREE</w:t>
        <w:br/>
      </w:r>
      <w:r>
        <w:rPr>
          <w:rFonts w:ascii="Arial" w:hAnsi="Arial" w:eastAsia="Arial"/>
          <w:b w:val="true"/>
          <w:color w:val="000000"/>
          <w:spacing w:val="0"/>
          <w:w w:val="100"/>
          <w:sz w:val="28"/>
          <w:vertAlign w:val="baseline"/>
          <w:lang w:val="en-US"/>
        </w:rPr>
        <w:t xml:space="preserve">(Person Entrusted to Another Endangered)</w:t>
        <w:br/>
      </w:r>
      <w:r>
        <w:rPr>
          <w:rFonts w:ascii="Arial" w:hAnsi="Arial" w:eastAsia="Arial"/>
          <w:b w:val="true"/>
          <w:color w:val="000000"/>
          <w:spacing w:val="0"/>
          <w:w w:val="100"/>
          <w:sz w:val="28"/>
          <w:vertAlign w:val="baseline"/>
          <w:lang w:val="en-US"/>
        </w:rPr>
        <w:t xml:space="preserve">Penal Law § 135.50(2)</w:t>
        <w:br/>
      </w:r>
      <w:r>
        <w:rPr>
          <w:rFonts w:ascii="Arial" w:hAnsi="Arial" w:eastAsia="Arial"/>
          <w:b w:val="true"/>
          <w:color w:val="000000"/>
          <w:spacing w:val="0"/>
          <w:w w:val="100"/>
          <w:sz w:val="28"/>
          <w:vertAlign w:val="baseline"/>
          <w:lang w:val="en-US"/>
        </w:rPr>
        <w:t xml:space="preserve">(Committed on or after July 27, 1981)</w:t>
      </w:r>
    </w:p>
    <w:p>
      <w:pPr>
        <w:pageBreakBefore w:val="false"/>
        <w:tabs>
          <w:tab w:val="right" w:leader="underscore" w:pos="7920"/>
        </w:tabs>
        <w:spacing w:before="327" w:after="0" w:line="318"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color w:val="000000"/>
          <w:spacing w:val="0"/>
          <w:w w:val="100"/>
          <w:sz w:val="28"/>
          <w:vertAlign w:val="baseline"/>
          <w:lang w:val="en-US"/>
        </w:rPr>
        <w:t xml:space="preserve"> count is Custodial Interference in the First</w:t>
      </w:r>
    </w:p>
    <w:p>
      <w:pPr>
        <w:pageBreakBefore w:val="false"/>
        <w:spacing w:before="4" w:after="0" w:line="318" w:lineRule="exact"/>
        <w:ind w:right="0" w:left="0" w:firstLine="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Degree.</w:t>
      </w:r>
    </w:p>
    <w:p>
      <w:pPr>
        <w:pageBreakBefore w:val="false"/>
        <w:spacing w:before="333" w:after="0" w:line="323" w:lineRule="exact"/>
        <w:ind w:right="0" w:left="0" w:firstLine="720"/>
        <w:jc w:val="both"/>
        <w:textAlignment w:val="baseline"/>
        <w:rPr>
          <w:rFonts w:ascii="Arial" w:hAnsi="Arial" w:eastAsia="Arial"/>
          <w:color w:val="000000"/>
          <w:spacing w:val="-6"/>
          <w:w w:val="100"/>
          <w:sz w:val="28"/>
          <w:vertAlign w:val="baseline"/>
          <w:lang w:val="en-US"/>
        </w:rPr>
      </w:pPr>
      <w:r>
        <w:rPr>
          <w:rFonts w:ascii="Arial" w:hAnsi="Arial" w:eastAsia="Arial"/>
          <w:color w:val="000000"/>
          <w:spacing w:val="-6"/>
          <w:w w:val="100"/>
          <w:sz w:val="28"/>
          <w:vertAlign w:val="baseline"/>
          <w:lang w:val="en-US"/>
        </w:rPr>
        <w:t xml:space="preserve">Under our law, a person is guilty of custodial interference in the first degree when, knowing that he or she has no legal right to do so, that person takes or entices from lawful custody any incompetent person or other person entrusted by authority of law to the custody of another person or institution under circumstances which expose the victim to a risk that his or her safety will be endangered or his or her health materially impaired.</w:t>
      </w:r>
      <w:r>
        <w:rPr>
          <w:rFonts w:ascii="Arial" w:hAnsi="Arial" w:eastAsia="Arial"/>
          <w:color w:val="000000"/>
          <w:spacing w:val="-6"/>
          <w:w w:val="100"/>
          <w:sz w:val="28"/>
          <w:vertAlign w:val="superscript"/>
          <w:lang w:val="en-US"/>
        </w:rPr>
        <w:t xml:space="preserve">1</w:t>
      </w:r>
      <w:r>
        <w:rPr>
          <w:rFonts w:ascii="Arial" w:hAnsi="Arial" w:eastAsia="Arial"/>
          <w:color w:val="000000"/>
          <w:spacing w:val="-6"/>
          <w:w w:val="100"/>
          <w:sz w:val="17"/>
          <w:vertAlign w:val="baseline"/>
          <w:lang w:val="en-US"/>
        </w:rPr>
        <w:t xml:space="preserve">
</w:t>
      </w:r>
    </w:p>
    <w:p>
      <w:pPr>
        <w:pageBreakBefore w:val="false"/>
        <w:spacing w:before="321" w:after="0" w:line="326"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432"/>
          <w:tab w:val="left" w:pos="1152"/>
        </w:tabs>
        <w:spacing w:before="319" w:after="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was a person entrusted by authority of law to the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2"/>
        </w:numPr>
        <w:tabs>
          <w:tab w:val="clear" w:pos="576"/>
          <w:tab w:val="left" w:pos="1296"/>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took or enticed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from the lawful custody 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432"/>
          <w:tab w:val="left" w:pos="1152"/>
        </w:tabs>
        <w:spacing w:before="319" w:after="0" w:line="327"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knew that he/she had no legal right to do so; and</w:t>
      </w:r>
    </w:p>
    <w:p>
      <w:pPr>
        <w:pageBreakBefore w:val="false"/>
        <w:numPr>
          <w:ilvl w:val="0"/>
          <w:numId w:val="1"/>
        </w:numPr>
        <w:tabs>
          <w:tab w:val="clear" w:pos="432"/>
          <w:tab w:val="left" w:pos="1152"/>
        </w:tabs>
        <w:spacing w:before="318" w:after="590" w:line="326"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under circumstances which exposed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a risk that his/her safety would be endangered or his/her health materially impaired.</w:t>
      </w:r>
    </w:p>
    <w:p>
      <w:pPr>
        <w:pageBreakBefore w:val="false"/>
        <w:spacing w:before="262" w:after="0" w:line="276" w:lineRule="exact"/>
        <w:ind w:right="0" w:left="0" w:firstLine="0"/>
        <w:jc w:val="both"/>
        <w:textAlignment w:val="baseline"/>
        <w:rPr>
          <w:rFonts w:ascii="Arial" w:hAnsi="Arial" w:eastAsia="Arial"/>
          <w:color w:val="000000"/>
          <w:spacing w:val="0"/>
          <w:w w:val="100"/>
          <w:sz w:val="14"/>
          <w:vertAlign w:val="superscript"/>
          <w:lang w:val="en-US"/>
        </w:rPr>
      </w:pPr>
      <w:r>
        <w:pict>
          <v:line strokeweight="1.2pt" strokecolor="#000000" from="108pt,638.9pt" to="252.05pt,638.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statute defining this crime, Penal Law §135.50, begins: “A person is guilty of custodial interference in the first degree when he commits the crime of custodial interference in the second degree ...” This charge incorporates the definition of custodial interference in the second degree as defined in Penal Law §135.45(2).</w:t>
      </w:r>
    </w:p>
    <w:p>
      <w:pPr>
        <w:sectPr>
          <w:type w:val="nextPage"/>
          <w:pgSz w:w="12240" w:h="15840" w:orient="portrait"/>
          <w:pgMar w:bottom="1024" w:top="1440" w:right="2140" w:left="2160" w:header="720" w:footer="720"/>
          <w:titlePg w:val="false"/>
          <w:textDirection w:val="lrTb"/>
        </w:sectPr>
      </w:pPr>
    </w:p>
    <w:p>
      <w:pPr>
        <w:pageBreakBefore w:val="false"/>
        <w:spacing w:before="5" w:after="0" w:line="325"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1" w:after="0" w:line="325" w:lineRule="exact"/>
        <w:ind w:right="0" w:left="0" w:firstLine="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pageBreakBefore w:val="false"/>
        <w:spacing w:before="0" w:after="0" w:line="322" w:lineRule="exact"/>
        <w:ind w:right="0" w:left="0" w:firstLine="0"/>
        <w:jc w:val="left"/>
        <w:textAlignment w:val="baseline"/>
        <w:rPr>
          <w:rFonts w:ascii="Arial" w:hAnsi="Arial" w:eastAsia="Arial"/>
          <w:color w:val="000000"/>
          <w:spacing w:val="0"/>
          <w:w w:val="100"/>
          <w:sz w:val="28"/>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16.35pt;height:14.95pt;z-index:-1000;margin-left:297.7pt;margin-top:705.6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8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txbxContent>
            </v:textbox>
          </v:shape>
        </w:pict>
      </w:r>
      <w:r>
        <w:rPr>
          <w:rFonts w:ascii="Arial" w:hAnsi="Arial" w:eastAsia="Arial"/>
          <w:color w:val="000000"/>
          <w:spacing w:val="0"/>
          <w:w w:val="100"/>
          <w:sz w:val="28"/>
          <w:vertAlign w:val="baseline"/>
          <w:lang w:val="en-US"/>
        </w:rPr>
        <w:t xml:space="preserve">.</w:t>
      </w:r>
    </w:p>
    <w:sectPr>
      <w:type w:val="nextPage"/>
      <w:pgSz w:w="12240" w:h="15840" w:orient="portrait"/>
      <w:pgMar w:bottom="1332" w:top="144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432"/>
        </w:tabs>
      </w:pPr>
      <w:rPr>
        <w:rFonts w:ascii="Arial" w:hAnsi="Arial" w:eastAsia="Arial"/>
        <w:color w:val="000000"/>
        <w:spacing w:val="0"/>
        <w:w w:val="100"/>
        <w:sz w:val="28"/>
        <w:vertAlign w:val="baseline"/>
        <w:lang w:val="en-US"/>
      </w:rPr>
    </w:lvl>
  </w:abstractNum>
  <w:abstractNum w:abstractNumId="2">
    <w:lvl w:ilvl="0">
      <w:start w:val="0"/>
      <w:numFmt w:val="decimal"/>
      <w:lvlText w:val="%1."/>
      <w:pPr>
        <w:tabs>
          <w:tab w:val="left" w:pos="576"/>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