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KIDNAPPING IN THE FIRST DEGREE</w:t>
        <w:br/>
      </w:r>
      <w:r>
        <w:rPr>
          <w:rFonts w:ascii="Arial" w:hAnsi="Arial" w:eastAsia="Arial"/>
          <w:b w:val="true"/>
          <w:color w:val="000000"/>
          <w:spacing w:val="0"/>
          <w:w w:val="100"/>
          <w:sz w:val="28"/>
          <w:vertAlign w:val="baseline"/>
          <w:lang w:val="en-US"/>
        </w:rPr>
        <w:t xml:space="preserve">(Held for more than 12 hours with intent to inflict</w:t>
        <w:br/>
      </w:r>
      <w:r>
        <w:rPr>
          <w:rFonts w:ascii="Arial" w:hAnsi="Arial" w:eastAsia="Arial"/>
          <w:b w:val="true"/>
          <w:color w:val="000000"/>
          <w:spacing w:val="0"/>
          <w:w w:val="100"/>
          <w:sz w:val="28"/>
          <w:vertAlign w:val="baseline"/>
          <w:lang w:val="en-US"/>
        </w:rPr>
        <w:t xml:space="preserve">physical injury or abuse sexually)</w:t>
        <w:br/>
      </w:r>
      <w:r>
        <w:rPr>
          <w:rFonts w:ascii="Arial" w:hAnsi="Arial" w:eastAsia="Arial"/>
          <w:b w:val="true"/>
          <w:color w:val="000000"/>
          <w:spacing w:val="0"/>
          <w:w w:val="100"/>
          <w:sz w:val="28"/>
          <w:vertAlign w:val="baseline"/>
          <w:lang w:val="en-US"/>
        </w:rPr>
        <w:t xml:space="preserve">Penal Law § 135.25(2)(a)</w:t>
        <w:br/>
      </w:r>
      <w:r>
        <w:rPr>
          <w:rFonts w:ascii="Arial" w:hAnsi="Arial" w:eastAsia="Arial"/>
          <w:b w:val="true"/>
          <w:color w:val="000000"/>
          <w:spacing w:val="0"/>
          <w:w w:val="100"/>
          <w:sz w:val="28"/>
          <w:vertAlign w:val="baseline"/>
          <w:lang w:val="en-US"/>
        </w:rPr>
        <w:t xml:space="preserve">(Committed on or after Sept. 1, 1973)</w:t>
      </w:r>
    </w:p>
    <w:p>
      <w:pPr>
        <w:pageBreakBefore w:val="false"/>
        <w:spacing w:before="327"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Kidnapping in the First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Kidnapping in the First Degree when he or she abducts another person and when he or she restrains the person abducted for a period of more than twelve hours with intent to inflict physical injury upon that person [or to violate or abuse that person sexually].</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6"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the impairment of physical condition or substantial pain.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a person acts with intent to inflict physical injury upon another [or violate or abuse another sexually] when his or her conscious objective or purpose is to do so.</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ABDUCT means to restrain a person with intent to prevent that person's liberation either by secreting or holding him or her in a place where he or she is not likely to be found, or by using or threatening to use deadly physical force.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5"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of “abduct’ have a special meaning:</w:t>
      </w:r>
    </w:p>
    <w:p>
      <w:pPr>
        <w:pageBreakBefore w:val="false"/>
        <w:spacing w:before="329" w:after="330" w:line="319" w:lineRule="exact"/>
        <w:ind w:right="0" w:left="720" w:firstLine="0"/>
        <w:jc w:val="both"/>
        <w:textAlignment w:val="baseline"/>
        <w:rPr>
          <w:rFonts w:ascii="Arial" w:hAnsi="Arial" w:eastAsia="Arial"/>
          <w:color w:val="000000"/>
          <w:spacing w:val="20"/>
          <w:w w:val="100"/>
          <w:sz w:val="28"/>
          <w:vertAlign w:val="baseline"/>
          <w:lang w:val="en-US"/>
        </w:rPr>
      </w:pPr>
      <w:r>
        <w:rPr>
          <w:rFonts w:ascii="Arial" w:hAnsi="Arial" w:eastAsia="Arial"/>
          <w:color w:val="000000"/>
          <w:spacing w:val="20"/>
          <w:w w:val="100"/>
          <w:sz w:val="28"/>
          <w:vertAlign w:val="baseline"/>
          <w:lang w:val="en-US"/>
        </w:rPr>
        <w:t xml:space="preserve">Restrain means to restrict a person's movements</w:t>
      </w:r>
    </w:p>
    <w:p>
      <w:pPr>
        <w:pageBreakBefore w:val="false"/>
        <w:spacing w:before="256"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10.00(9).</w:t>
      </w:r>
    </w:p>
    <w:p>
      <w:pPr>
        <w:pageBreakBefore w:val="false"/>
        <w:spacing w:before="243"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4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135.00(2).</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intentionally and unlawfully in such manner as to interfere substantially with his or her liberty by moving him or her from one place to another, or by confining him or her either in the place where the restriction commences or in a place to which he or she has been moved, without consent and with knowledge that the restriction is unlawful.</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intentionally when his or her conscious objective or purpose is to restrict that person's movements.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unlawfully when he or she is not authorized by law to do so.</w:t>
      </w:r>
    </w:p>
    <w:p>
      <w:pPr>
        <w:pageBreakBefore w:val="false"/>
        <w:spacing w:before="325"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with certain exceptions not applicable here, a person is not authorized by law to restrict another's movements.</w:t>
      </w:r>
    </w:p>
    <w:p>
      <w:pPr>
        <w:pageBreakBefore w:val="false"/>
        <w:spacing w:before="335" w:after="0" w:line="318"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17"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authorized by law to restrict another's movements when </w:t>
      </w:r>
      <w:r>
        <w:rPr>
          <w:rFonts w:ascii="Arial" w:hAnsi="Arial" w:eastAsia="Arial"/>
          <w:i w:val="true"/>
          <w:color w:val="000000"/>
          <w:spacing w:val="0"/>
          <w:w w:val="100"/>
          <w:sz w:val="28"/>
          <w:u w:val="single"/>
          <w:vertAlign w:val="baseline"/>
          <w:lang w:val="en-US"/>
        </w:rPr>
        <w:t xml:space="preserve">(read the applicable law that authorizes a person to restrict another's movements </w:t>
      </w:r>
      <w:r>
        <w:rPr>
          <w:rFonts w:ascii="Arial" w:hAnsi="Arial" w:eastAsia="Arial"/>
          <w:i w:val="true"/>
          <w:color w:val="000000"/>
          <w:spacing w:val="0"/>
          <w:w w:val="100"/>
          <w:sz w:val="28"/>
          <w:vertAlign w:val="superscript"/>
          <w:lang w:val="en-US"/>
        </w:rPr>
        <w:t xml:space="preserve">6</w:t>
      </w:r>
      <w:r>
        <w:rPr>
          <w:rFonts w:ascii="Arial" w:hAnsi="Arial" w:eastAsia="Arial"/>
          <w:i w:val="true"/>
          <w:color w:val="000000"/>
          <w:spacing w:val="0"/>
          <w:w w:val="100"/>
          <w:sz w:val="28"/>
          <w:u w:val="single"/>
          <w:vertAlign w:val="baseline"/>
          <w:lang w:val="en-US"/>
        </w:rPr>
        <w:t xml:space="preserve">). </w:t>
      </w:r>
      <w:r>
        <w:rPr>
          <w:rFonts w:ascii="Arial" w:hAnsi="Arial" w:eastAsia="Arial"/>
          <w:i w:val="true"/>
          <w:color w:val="000000"/>
          <w:spacing w:val="0"/>
          <w:w w:val="100"/>
          <w:sz w:val="28"/>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with knowledge that the restriction is unlawful when he or she is aware that the restriction is not authorized by law.</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5" w:after="28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moved or confined without consent when such is accomplished</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589.45pt" to="252.05pt,589.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135.00(1).</w:t>
      </w:r>
    </w:p>
    <w:p>
      <w:pPr>
        <w:pageBreakBefore w:val="false"/>
        <w:spacing w:before="239"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51"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See, e.g., </w:t>
      </w:r>
      <w:r>
        <w:rPr>
          <w:rFonts w:ascii="Arial" w:hAnsi="Arial" w:eastAsia="Arial"/>
          <w:color w:val="000000"/>
          <w:spacing w:val="0"/>
          <w:w w:val="100"/>
          <w:sz w:val="24"/>
          <w:vertAlign w:val="baseline"/>
          <w:lang w:val="en-US"/>
        </w:rPr>
        <w:t xml:space="preserve">CPL §§ 140.15, 140.35, Penal Law §§ 35.05, 35.10.</w:t>
      </w:r>
    </w:p>
    <w:p>
      <w:pPr>
        <w:pageBreakBefore w:val="false"/>
        <w:spacing w:before="244" w:after="0" w:line="275"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7</w:t>
      </w:r>
      <w:r>
        <w:rPr>
          <w:rFonts w:ascii="Arial" w:hAnsi="Arial" w:eastAsia="Arial"/>
          <w:i w:val="true"/>
          <w:color w:val="000000"/>
          <w:spacing w:val="1"/>
          <w:w w:val="100"/>
          <w:sz w:val="24"/>
          <w:vertAlign w:val="baseline"/>
          <w:lang w:val="en-US"/>
        </w:rPr>
        <w:t xml:space="preserve"> See People v. Weiss, </w:t>
      </w:r>
      <w:r>
        <w:rPr>
          <w:rFonts w:ascii="Arial" w:hAnsi="Arial" w:eastAsia="Arial"/>
          <w:color w:val="000000"/>
          <w:spacing w:val="1"/>
          <w:w w:val="100"/>
          <w:sz w:val="24"/>
          <w:vertAlign w:val="baseline"/>
          <w:lang w:val="en-US"/>
        </w:rPr>
        <w:t xml:space="preserve">276 N.Y. 384 (1938). </w:t>
      </w:r>
      <w:r>
        <w:rPr>
          <w:rFonts w:ascii="Arial" w:hAnsi="Arial" w:eastAsia="Arial"/>
          <w:i w:val="true"/>
          <w:color w:val="000000"/>
          <w:spacing w:val="1"/>
          <w:w w:val="100"/>
          <w:sz w:val="24"/>
          <w:vertAlign w:val="baseline"/>
          <w:lang w:val="en-US"/>
        </w:rPr>
        <w:t xml:space="preserve">Cf. </w:t>
      </w:r>
      <w:r>
        <w:rPr>
          <w:rFonts w:ascii="Arial" w:hAnsi="Arial" w:eastAsia="Arial"/>
          <w:color w:val="000000"/>
          <w:spacing w:val="1"/>
          <w:w w:val="100"/>
          <w:sz w:val="24"/>
          <w:vertAlign w:val="baseline"/>
          <w:lang w:val="en-US"/>
        </w:rPr>
        <w:t xml:space="preserve">Penal Law § 15.05(2).</w:t>
      </w:r>
    </w:p>
    <w:p>
      <w:pPr>
        <w:pageBreakBefore w:val="false"/>
        <w:spacing w:before="246"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8"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2"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physical force, intimidation or deception.</w:t>
      </w:r>
    </w:p>
    <w:p>
      <w:pPr>
        <w:pageBreakBefore w:val="false"/>
        <w:spacing w:before="331" w:after="0" w:line="318"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10"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any means whatever, including acquiescence of the victim, if he or she is a child less than sixteen years old or an incompetent person and the parent, guardian or other person or institution having lawful control or custody of him or her has not acquiesced in the movement or confinement.</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physical force means physical force which, under the circumstances in which it is used, is readily capable of causing death or other serious physical injury.</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 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Thus, a person acts with intent to prevent another’s liberation either by secreting or holding him or her in a place where he or she is not likely to be found, or by using or threatening to use deadly physical force, when that person’s conscious objective or purpose is to do so.</w:t>
      </w:r>
    </w:p>
    <w:p>
      <w:pPr>
        <w:pageBreakBefore w:val="false"/>
        <w:spacing w:before="324" w:after="279"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six elements:</w:t>
      </w:r>
    </w:p>
    <w:p>
      <w:pPr>
        <w:pageBreakBefore w:val="false"/>
        <w:spacing w:before="258" w:after="0" w:line="275" w:lineRule="exact"/>
        <w:ind w:right="0" w:left="0" w:firstLine="0"/>
        <w:jc w:val="left"/>
        <w:textAlignment w:val="baseline"/>
        <w:rPr>
          <w:rFonts w:ascii="Arial" w:hAnsi="Arial" w:eastAsia="Arial"/>
          <w:color w:val="000000"/>
          <w:spacing w:val="2"/>
          <w:w w:val="100"/>
          <w:sz w:val="14"/>
          <w:vertAlign w:val="superscript"/>
          <w:lang w:val="en-US"/>
        </w:rPr>
      </w:pPr>
      <w:r>
        <w:pict>
          <v:line strokeweight="1.2pt" strokecolor="#000000" from="108pt,589.45pt" to="252.05pt,589.4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8</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135.00(1).</w:t>
      </w:r>
    </w:p>
    <w:p>
      <w:pPr>
        <w:pageBreakBefore w:val="false"/>
        <w:spacing w:before="239"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10.00(11).</w:t>
      </w:r>
    </w:p>
    <w:p>
      <w:pPr>
        <w:pageBreakBefore w:val="false"/>
        <w:spacing w:before="244"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10.00(10).</w:t>
      </w:r>
    </w:p>
    <w:p>
      <w:pPr>
        <w:pageBreakBefore w:val="false"/>
        <w:spacing w:before="242" w:after="25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numPr>
          <w:ilvl w:val="0"/>
          <w:numId w:val="1"/>
        </w:numPr>
        <w:tabs>
          <w:tab w:val="clear" w:pos="720"/>
          <w:tab w:val="left" w:pos="1440"/>
        </w:tabs>
        <w:spacing w:before="8" w:after="0" w:line="320" w:lineRule="exact"/>
        <w:ind w:right="0" w:left="1440" w:hanging="720"/>
        <w:jc w:val="left"/>
        <w:textAlignment w:val="baseline"/>
        <w:rPr>
          <w:rFonts w:ascii="Arial" w:hAnsi="Arial" w:eastAsia="Arial"/>
          <w:color w:val="000000"/>
          <w:spacing w:val="24"/>
          <w:w w:val="100"/>
          <w:sz w:val="28"/>
          <w:vertAlign w:val="baseline"/>
          <w:lang w:val="en-US"/>
        </w:rPr>
      </w:pPr>
      <w:r>
        <w:rPr>
          <w:rFonts w:ascii="Arial" w:hAnsi="Arial" w:eastAsia="Arial"/>
          <w:color w:val="000000"/>
          <w:spacing w:val="24"/>
          <w:w w:val="100"/>
          <w:sz w:val="28"/>
          <w:vertAlign w:val="baseline"/>
          <w:lang w:val="en-US"/>
        </w:rPr>
        <w:t xml:space="preserve">That on or about </w:t>
      </w:r>
      <w:r>
        <w:rPr>
          <w:rFonts w:ascii="Arial" w:hAnsi="Arial" w:eastAsia="Arial"/>
          <w:i w:val="true"/>
          <w:color w:val="000000"/>
          <w:spacing w:val="24"/>
          <w:w w:val="100"/>
          <w:sz w:val="28"/>
          <w:u w:val="single"/>
          <w:vertAlign w:val="baseline"/>
          <w:lang w:val="en-US"/>
        </w:rPr>
        <w:tab/>
      </w:r>
      <w:r>
        <w:rPr>
          <w:rFonts w:ascii="Arial" w:hAnsi="Arial" w:eastAsia="Arial"/>
          <w:i w:val="true"/>
          <w:color w:val="000000"/>
          <w:spacing w:val="24"/>
          <w:w w:val="100"/>
          <w:sz w:val="28"/>
          <w:u w:val="single"/>
          <w:vertAlign w:val="baseline"/>
          <w:lang w:val="en-US"/>
        </w:rPr>
        <w:t xml:space="preserve">(date) </w:t>
      </w:r>
      <w:r>
        <w:rPr>
          <w:rFonts w:ascii="Arial" w:hAnsi="Arial" w:eastAsia="Arial"/>
          <w:color w:val="000000"/>
          <w:spacing w:val="24"/>
          <w:w w:val="100"/>
          <w:sz w:val="28"/>
          <w:vertAlign w:val="baseline"/>
          <w:lang w:val="en-US"/>
        </w:rPr>
        <w:t xml:space="preserve"> , in the County of</w:t>
      </w:r>
    </w:p>
    <w:p>
      <w:pPr>
        <w:pageBreakBefore w:val="false"/>
        <w:tabs>
          <w:tab w:val="left" w:leader="none" w:pos="2952"/>
        </w:tabs>
        <w:spacing w:before="1" w:after="0" w:line="324" w:lineRule="exact"/>
        <w:ind w:right="0" w:left="1440" w:firstLine="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ab/>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restricted </w:t>
      </w:r>
      <w:r>
        <w:rPr>
          <w:rFonts w:ascii="Arial" w:hAnsi="Arial" w:eastAsia="Arial"/>
          <w:i w:val="true"/>
          <w:color w:val="000000"/>
          <w:spacing w:val="0"/>
          <w:w w:val="100"/>
          <w:sz w:val="28"/>
          <w:u w:val="single"/>
          <w:vertAlign w:val="baseline"/>
          <w:lang w:val="en-US"/>
        </w:rPr>
        <w:t xml:space="preserve"> (specify)'s</w:t>
      </w:r>
      <w:r>
        <w:rPr>
          <w:rFonts w:ascii="Arial" w:hAnsi="Arial" w:eastAsia="Arial"/>
          <w:color w:val="000000"/>
          <w:spacing w:val="0"/>
          <w:w w:val="100"/>
          <w:sz w:val="28"/>
          <w:vertAlign w:val="baseline"/>
          <w:lang w:val="en-US"/>
        </w:rPr>
        <w:t xml:space="preserve"> movements in such manner as to interfere substantially with his/her liberty by moving him/her from one place to another, or by confining him/her either in the place where the restriction commenced or in a place to which he/she had been moved;</w:t>
      </w:r>
    </w:p>
    <w:p>
      <w:pPr>
        <w:pageBreakBefore w:val="false"/>
        <w:numPr>
          <w:ilvl w:val="0"/>
          <w:numId w:val="1"/>
        </w:numPr>
        <w:tabs>
          <w:tab w:val="clear" w:pos="720"/>
          <w:tab w:val="left" w:pos="1440"/>
        </w:tabs>
        <w:spacing w:before="329" w:after="0" w:line="321" w:lineRule="exact"/>
        <w:ind w:right="288"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consent of </w:t>
      </w:r>
      <w:r>
        <w:rPr>
          <w:rFonts w:ascii="Arial" w:hAnsi="Arial" w:eastAsia="Arial"/>
          <w:i w:val="true"/>
          <w:color w:val="000000"/>
          <w:spacing w:val="0"/>
          <w:w w:val="100"/>
          <w:sz w:val="28"/>
          <w:u w:val="single"/>
          <w:vertAlign w:val="baseline"/>
          <w:lang w:val="en-US"/>
        </w:rPr>
        <w:t xml:space="preserve">(specify). </w:t>
      </w:r>
      <w:r>
        <w:rPr>
          <w:rFonts w:ascii="Arial" w:hAnsi="Arial" w:eastAsia="Arial"/>
          <w:i w:val="tru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8" w:after="0" w:line="318"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720"/>
          <w:tab w:val="left" w:pos="1440"/>
        </w:tabs>
        <w:spacing w:before="328"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restriction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)'s movements was unlawful, and the defendant knew that the restriction was unlawful.</w:t>
      </w:r>
    </w:p>
    <w:p>
      <w:pPr>
        <w:pageBreakBefore w:val="false"/>
        <w:numPr>
          <w:ilvl w:val="0"/>
          <w:numId w:val="1"/>
        </w:numPr>
        <w:tabs>
          <w:tab w:val="clear" w:pos="720"/>
          <w:tab w:val="left" w:pos="1440"/>
        </w:tabs>
        <w:spacing w:before="334"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restrained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 intent to prevent </w:t>
      </w:r>
      <w:r>
        <w:rPr>
          <w:rFonts w:ascii="Arial" w:hAnsi="Arial" w:eastAsia="Arial"/>
          <w:i w:val="true"/>
          <w:color w:val="000000"/>
          <w:spacing w:val="0"/>
          <w:w w:val="100"/>
          <w:sz w:val="28"/>
          <w:u w:val="single"/>
          <w:vertAlign w:val="baseline"/>
          <w:lang w:val="en-US"/>
        </w:rPr>
        <w:t xml:space="preserve">(specify)'s</w:t>
      </w:r>
      <w:r>
        <w:rPr>
          <w:rFonts w:ascii="Arial" w:hAnsi="Arial" w:eastAsia="Arial"/>
          <w:color w:val="000000"/>
          <w:spacing w:val="0"/>
          <w:w w:val="100"/>
          <w:sz w:val="28"/>
          <w:vertAlign w:val="baseline"/>
          <w:lang w:val="en-US"/>
        </w:rPr>
        <w:t xml:space="preserve"> liberation either by secreting or holding him/her in a place where he/she was not likely to be found, or by using or threatening to use deadly physical force; and</w:t>
      </w:r>
    </w:p>
    <w:p>
      <w:pPr>
        <w:pageBreakBefore w:val="false"/>
        <w:numPr>
          <w:ilvl w:val="0"/>
          <w:numId w:val="1"/>
        </w:numPr>
        <w:tabs>
          <w:tab w:val="clear" w:pos="720"/>
          <w:tab w:val="left" w:pos="1440"/>
        </w:tabs>
        <w:spacing w:before="331"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restrained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for a period of more than twelve hours with intent to inflict physical injury upon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[or violate or abuse </w:t>
      </w:r>
      <w:r>
        <w:rPr>
          <w:rFonts w:ascii="Arial" w:hAnsi="Arial" w:eastAsia="Arial"/>
          <w:i w:val="true"/>
          <w:color w:val="000000"/>
          <w:spacing w:val="0"/>
          <w:w w:val="100"/>
          <w:sz w:val="28"/>
          <w:u w:val="single"/>
          <w:vertAlign w:val="baseline"/>
          <w:lang w:val="en-US"/>
        </w:rPr>
        <w:t xml:space="preserve"> (specify)</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sexually].</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00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1008" w:line="324" w:lineRule="exact"/>
        <w:sectPr>
          <w:type w:val="nextPage"/>
          <w:pgSz w:w="12240" w:h="15840" w:orient="portrait"/>
          <w:pgMar w:bottom="1024" w:top="1440" w:right="2140" w:left="216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