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31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ASSISTING SUICIDE</w:t>
        <w:br/>
      </w:r>
      <w:r>
        <w:rPr>
          <w:rFonts w:ascii="Arial" w:hAnsi="Arial" w:eastAsia="Arial"/>
          <w:b w:val="true"/>
          <w:color w:val="000000"/>
          <w:spacing w:val="0"/>
          <w:w w:val="100"/>
          <w:sz w:val="28"/>
          <w:vertAlign w:val="baseline"/>
          <w:lang w:val="en-US"/>
        </w:rPr>
        <w:t xml:space="preserve">[Penal Law § 125.25(1)(b),</w:t>
        <w:br/>
      </w:r>
      <w:r>
        <w:rPr>
          <w:rFonts w:ascii="Arial" w:hAnsi="Arial" w:eastAsia="Arial"/>
          <w:b w:val="true"/>
          <w:color w:val="000000"/>
          <w:spacing w:val="0"/>
          <w:w w:val="100"/>
          <w:sz w:val="28"/>
          <w:vertAlign w:val="baseline"/>
          <w:lang w:val="en-US"/>
        </w:rPr>
        <w:t xml:space="preserve">Penal Law § 125.27(2)(b)]</w:t>
      </w:r>
    </w:p>
    <w:p>
      <w:pPr>
        <w:pageBreakBefore w:val="false"/>
        <w:spacing w:before="355" w:after="311" w:line="319" w:lineRule="exact"/>
        <w:ind w:right="720" w:left="720" w:firstLine="0"/>
        <w:jc w:val="both"/>
        <w:textAlignment w:val="baseline"/>
        <w:rPr>
          <w:rFonts w:ascii="Arial" w:hAnsi="Arial" w:eastAsia="Arial"/>
          <w:i w:val="true"/>
          <w:color w:val="000000"/>
          <w:spacing w:val="0"/>
          <w:w w:val="100"/>
          <w:sz w:val="28"/>
          <w:vertAlign w:val="baseline"/>
          <w:lang w:val="en-US"/>
        </w:rPr>
      </w:pPr>
      <w:r>
        <w:pict>
          <v:line strokeweight="0.95pt" strokecolor="#000000" from="198pt,138.25pt" to="414.3pt,138.25pt" style="position:absolute;mso-position-horizontal-relative:page;mso-position-vertical-relative:page;">
            <v:stroke dashstyle="solid"/>
          </v:line>
        </w:pict>
      </w:r>
      <w:r>
        <w:rPr>
          <w:rFonts w:ascii="Arial" w:hAnsi="Arial" w:eastAsia="Arial"/>
          <w:i w:val="true"/>
          <w:color w:val="000000"/>
          <w:spacing w:val="0"/>
          <w:w w:val="100"/>
          <w:sz w:val="28"/>
          <w:vertAlign w:val="baseline"/>
          <w:lang w:val="en-US"/>
        </w:rPr>
        <w:t xml:space="preserve">If applicable, omit the final two paragraphs of the instructions on the crime charged, and substitute the following:</w:t>
      </w:r>
    </w:p>
    <w:p>
      <w:pPr>
        <w:pageBreakBefore w:val="false"/>
        <w:spacing w:before="377" w:after="0" w:line="322" w:lineRule="exact"/>
        <w:ind w:right="0" w:left="0" w:firstLine="720"/>
        <w:jc w:val="both"/>
        <w:textAlignment w:val="baseline"/>
        <w:rPr>
          <w:rFonts w:ascii="Arial" w:hAnsi="Arial" w:eastAsia="Arial"/>
          <w:color w:val="000000"/>
          <w:spacing w:val="0"/>
          <w:w w:val="100"/>
          <w:sz w:val="28"/>
          <w:vertAlign w:val="baseline"/>
          <w:lang w:val="en-US"/>
        </w:rPr>
      </w:pPr>
      <w:r>
        <w:pict>
          <v:line strokeweight="1.2pt" strokecolor="#000000" from="198pt,219.6pt" to="414.3pt,219.6pt" style="position:absolute;mso-position-horizontal-relative:page;mso-position-vertical-relative:page;">
            <v:stroke dashstyle="solid"/>
          </v:line>
        </w:pict>
      </w:r>
      <w:r>
        <w:rPr>
          <w:rFonts w:ascii="Arial" w:hAnsi="Arial" w:eastAsia="Arial"/>
          <w:color w:val="000000"/>
          <w:spacing w:val="0"/>
          <w:w w:val="100"/>
          <w:sz w:val="28"/>
          <w:vertAlign w:val="baseline"/>
          <w:lang w:val="en-US"/>
        </w:rPr>
        <w:t xml:space="preserve">If you find that the People have not proven beyond a reasonable doubt any one of those elements, you must find the</w:t>
      </w:r>
    </w:p>
    <w:p>
      <w:pPr>
        <w:pageBreakBefore w:val="false"/>
        <w:tabs>
          <w:tab w:val="left" w:leader="underscore" w:pos="5688"/>
        </w:tabs>
        <w:spacing w:before="3" w:after="0" w:line="318"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defendant not guilty of Murder in the	</w:t>
      </w:r>
      <w:r>
        <w:rPr>
          <w:rFonts w:ascii="Arial" w:hAnsi="Arial" w:eastAsia="Arial"/>
          <w:color w:val="000000"/>
          <w:spacing w:val="0"/>
          <w:w w:val="100"/>
          <w:sz w:val="28"/>
          <w:vertAlign w:val="baseline"/>
          <w:lang w:val="en-US"/>
        </w:rPr>
        <w:t xml:space="preserve">degree.</w:t>
      </w:r>
    </w:p>
    <w:p>
      <w:pPr>
        <w:pageBreakBefore w:val="false"/>
        <w:spacing w:before="351" w:after="0" w:line="31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that the People have proven beyond a reasonable doubt (both </w:t>
      </w:r>
      <w:r>
        <w:rPr>
          <w:rFonts w:ascii="Arial" w:hAnsi="Arial" w:eastAsia="Arial"/>
          <w:i w:val="true"/>
          <w:color w:val="000000"/>
          <w:spacing w:val="0"/>
          <w:w w:val="100"/>
          <w:sz w:val="28"/>
          <w:vertAlign w:val="baseline"/>
          <w:lang w:val="en-US"/>
        </w:rPr>
        <w:t xml:space="preserve">/ </w:t>
      </w:r>
      <w:r>
        <w:rPr>
          <w:rFonts w:ascii="Arial" w:hAnsi="Arial" w:eastAsia="Arial"/>
          <w:color w:val="000000"/>
          <w:spacing w:val="0"/>
          <w:w w:val="100"/>
          <w:sz w:val="28"/>
          <w:vertAlign w:val="baseline"/>
          <w:lang w:val="en-US"/>
        </w:rPr>
        <w:t xml:space="preserve">each) of the elements, you must consider an affirmative defense the defendant has raised. Remember, if you have already found the defendant not guilty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you will not consider the affirmative defense.</w:t>
      </w:r>
    </w:p>
    <w:p>
      <w:pPr>
        <w:pageBreakBefore w:val="false"/>
        <w:spacing w:before="348" w:after="0" w:line="318" w:lineRule="exact"/>
        <w:ind w:right="0" w:left="72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Under our law, it is an affirmative defense to a charge of</w:t>
      </w:r>
    </w:p>
    <w:p>
      <w:pPr>
        <w:pageBreakBefore w:val="false"/>
        <w:tabs>
          <w:tab w:val="right" w:leader="underscore" w:pos="7920"/>
        </w:tabs>
        <w:spacing w:before="2"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Murder in the 	</w:t>
      </w:r>
      <w:r>
        <w:rPr>
          <w:rFonts w:ascii="Arial" w:hAnsi="Arial" w:eastAsia="Arial"/>
          <w:color w:val="000000"/>
          <w:spacing w:val="0"/>
          <w:w w:val="100"/>
          <w:sz w:val="28"/>
          <w:vertAlign w:val="baseline"/>
          <w:lang w:val="en-US"/>
        </w:rPr>
        <w:t xml:space="preserve">degree that the defendant’s conduct</w:t>
        <w:br/>
      </w:r>
      <w:r>
        <w:rPr>
          <w:rFonts w:ascii="Arial" w:hAnsi="Arial" w:eastAsia="Arial"/>
          <w:color w:val="000000"/>
          <w:spacing w:val="0"/>
          <w:w w:val="100"/>
          <w:sz w:val="28"/>
          <w:vertAlign w:val="baseline"/>
          <w:lang w:val="en-US"/>
        </w:rPr>
        <w:t xml:space="preserve">consisted of causing or aiding, without the use of duress or deception, another person to commit suicide.</w:t>
      </w:r>
    </w:p>
    <w:p>
      <w:pPr>
        <w:pageBreakBefore w:val="false"/>
        <w:spacing w:before="322"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26" w:after="0" w:line="323"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w:t>
      </w:r>
    </w:p>
    <w:p>
      <w:pPr>
        <w:pageBreakBefore w:val="false"/>
        <w:tabs>
          <w:tab w:val="right" w:leader="none" w:pos="7920"/>
        </w:tabs>
        <w:spacing w:before="2"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has.	</w:t>
      </w:r>
      <w:r>
        <w:rPr>
          <w:rFonts w:ascii="Arial" w:hAnsi="Arial" w:eastAsia="Arial"/>
          <w:color w:val="000000"/>
          <w:spacing w:val="0"/>
          <w:w w:val="100"/>
          <w:sz w:val="28"/>
          <w:vertAlign w:val="baseline"/>
          <w:lang w:val="en-US"/>
        </w:rPr>
        <w:t xml:space="preserve">For the affirmative defense to be proved by a</w:t>
        <w:br/>
      </w:r>
      <w:r>
        <w:rPr>
          <w:rFonts w:ascii="Arial" w:hAnsi="Arial" w:eastAsia="Arial"/>
          <w:color w:val="000000"/>
          <w:spacing w:val="0"/>
          <w:w w:val="100"/>
          <w:sz w:val="28"/>
          <w:vertAlign w:val="baseline"/>
          <w:lang w:val="en-US"/>
        </w:rPr>
        <w:t xml:space="preserve">preponderance of the evidence, the evidence that supports the affirmative defense must be of such convincing quality as to</w:t>
      </w:r>
    </w:p>
    <w:p>
      <w:pPr>
        <w:sectPr>
          <w:type w:val="nextPage"/>
          <w:pgSz w:w="12240" w:h="15840" w:orient="portrait"/>
          <w:pgMar w:bottom="1264" w:top="1440" w:right="2135" w:left="2165" w:header="720" w:footer="720"/>
          <w:titlePg w:val="false"/>
          <w:textDirection w:val="lrTb"/>
        </w:sectPr>
      </w:pPr>
    </w:p>
    <w:p>
      <w:pPr>
        <w:pageBreakBefore w:val="false"/>
        <w:spacing w:before="8" w:after="0" w:line="318"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outweigh any evidence to the contrary.</w:t>
      </w:r>
    </w:p>
    <w:p>
      <w:pPr>
        <w:pageBreakBefore w:val="false"/>
        <w:spacing w:before="329" w:after="0" w:line="324"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If you find that the defendant has not proven the affirmative defense by a preponderance of the evidence, then, based upon your initial determination that the People had proven beyond a reasonable doubt the elements of (</w:t>
      </w:r>
      <w:r>
        <w:rPr>
          <w:rFonts w:ascii="Arial" w:hAnsi="Arial" w:eastAsia="Arial"/>
          <w:i w:val="true"/>
          <w:color w:val="000000"/>
          <w:spacing w:val="-2"/>
          <w:w w:val="100"/>
          <w:sz w:val="28"/>
          <w:u w:val="single"/>
          <w:vertAlign w:val="baseline"/>
          <w:lang w:val="en-US"/>
        </w:rPr>
        <w:t xml:space="preserve">specify</w:t>
      </w:r>
      <w:r>
        <w:rPr>
          <w:rFonts w:ascii="Arial" w:hAnsi="Arial" w:eastAsia="Arial"/>
          <w:color w:val="000000"/>
          <w:spacing w:val="-2"/>
          <w:w w:val="100"/>
          <w:sz w:val="28"/>
          <w:vertAlign w:val="baseline"/>
          <w:lang w:val="en-US"/>
        </w:rPr>
        <w:t xml:space="preserve">), you must find the defendant guilty of that crime.</w:t>
      </w:r>
    </w:p>
    <w:p>
      <w:pPr>
        <w:pageBreakBefore w:val="false"/>
        <w:spacing w:before="32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that the defendant has proven the affirmative defense by a preponderance of the evidence, then you must find the defendant not guilty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spacing w:before="332" w:after="6849"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finding that the defendant’s conduct consisted of causing or aiding, without the use of duress or deception, another person to commit suicide and is accordingly not guilty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does not constitute a defense to a prosecution for, or preclude a conviction of, manslaughter in the second degree or any other crime.]</w:t>
      </w:r>
    </w:p>
    <w:p>
      <w:pPr>
        <w:spacing w:before="332" w:after="6849" w:line="323" w:lineRule="exact"/>
        <w:sectPr>
          <w:type w:val="nextPage"/>
          <w:pgSz w:w="12240" w:h="15840" w:orient="portrait"/>
          <w:pgMar w:bottom="1024" w:top="1440" w:right="2143" w:left="2157"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