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4" w:after="0" w:line="298" w:lineRule="exact"/>
        <w:ind w:right="0" w:left="0" w:firstLine="0"/>
        <w:jc w:val="center"/>
        <w:textAlignment w:val="baseline"/>
        <w:rPr>
          <w:rFonts w:ascii="Arial" w:hAnsi="Arial" w:eastAsia="Arial"/>
          <w:b w:val="true"/>
          <w:color w:val="000000"/>
          <w:spacing w:val="0"/>
          <w:w w:val="100"/>
          <w:sz w:val="26"/>
          <w:vertAlign w:val="baseline"/>
          <w:lang w:val="en-US"/>
        </w:rPr>
      </w:pPr>
      <w:r>
        <w:rPr>
          <w:rFonts w:ascii="Arial" w:hAnsi="Arial" w:eastAsia="Arial"/>
          <w:b w:val="true"/>
          <w:color w:val="000000"/>
          <w:spacing w:val="0"/>
          <w:w w:val="100"/>
          <w:sz w:val="26"/>
          <w:vertAlign w:val="baseline"/>
          <w:lang w:val="en-US"/>
        </w:rPr>
        <w:t xml:space="preserve">EXTREME EMOTIONAL DISTURBANCE DEFENSE</w:t>
        <w:br/>
      </w:r>
      <w:r>
        <w:rPr>
          <w:rFonts w:ascii="Arial" w:hAnsi="Arial" w:eastAsia="Arial"/>
          <w:color w:val="000000"/>
          <w:spacing w:val="0"/>
          <w:w w:val="100"/>
          <w:sz w:val="26"/>
          <w:vertAlign w:val="baseline"/>
          <w:lang w:val="en-US"/>
        </w:rPr>
        <w:t xml:space="preserve">(Revised Feb. 2016 and Dec. 2019)</w:t>
      </w:r>
      <w:r>
        <w:rPr>
          <w:rFonts w:ascii="Arial" w:hAnsi="Arial" w:eastAsia="Arial"/>
          <w:color w:val="000000"/>
          <w:spacing w:val="0"/>
          <w:w w:val="100"/>
          <w:sz w:val="26"/>
          <w:vertAlign w:val="superscript"/>
          <w:lang w:val="en-US"/>
        </w:rPr>
        <w:t xml:space="preserve">1</w:t>
      </w:r>
      <w:r>
        <w:rPr>
          <w:rFonts w:ascii="Arial" w:hAnsi="Arial" w:eastAsia="Arial"/>
          <w:color w:val="000000"/>
          <w:spacing w:val="0"/>
          <w:w w:val="100"/>
          <w:sz w:val="16"/>
          <w:vertAlign w:val="baseline"/>
          <w:lang w:val="en-US"/>
        </w:rPr>
        <w:t xml:space="preserve">
</w:t>
      </w:r>
    </w:p>
    <w:p>
      <w:pPr>
        <w:pageBreakBefore w:val="false"/>
        <w:spacing w:before="289" w:after="0" w:line="312" w:lineRule="exact"/>
        <w:ind w:right="0" w:left="0" w:firstLine="0"/>
        <w:jc w:val="center"/>
        <w:textAlignment w:val="baseline"/>
        <w:rPr>
          <w:rFonts w:ascii="Arial" w:hAnsi="Arial" w:eastAsia="Arial"/>
          <w:b w:val="true"/>
          <w:color w:val="000000"/>
          <w:spacing w:val="0"/>
          <w:w w:val="100"/>
          <w:sz w:val="26"/>
          <w:vertAlign w:val="baseline"/>
          <w:lang w:val="en-US"/>
        </w:rPr>
      </w:pPr>
      <w:r>
        <w:rPr>
          <w:rFonts w:ascii="Arial" w:hAnsi="Arial" w:eastAsia="Arial"/>
          <w:b w:val="true"/>
          <w:color w:val="000000"/>
          <w:spacing w:val="0"/>
          <w:w w:val="100"/>
          <w:sz w:val="26"/>
          <w:vertAlign w:val="baseline"/>
          <w:lang w:val="en-US"/>
        </w:rPr>
        <w:t xml:space="preserve">Penal Law § 125.25 (1)(a)</w:t>
      </w:r>
      <w:r>
        <w:rPr>
          <w:rFonts w:ascii="Arial" w:hAnsi="Arial" w:eastAsia="Arial"/>
          <w:b w:val="true"/>
          <w:color w:val="000000"/>
          <w:spacing w:val="0"/>
          <w:w w:val="100"/>
          <w:sz w:val="26"/>
          <w:vertAlign w:val="superscript"/>
          <w:lang w:val="en-US"/>
        </w:rPr>
        <w:t xml:space="preserve">2</w:t>
      </w:r>
      <w:r>
        <w:rPr>
          <w:rFonts w:ascii="Arial" w:hAnsi="Arial" w:eastAsia="Arial"/>
          <w:b w:val="true"/>
          <w:color w:val="000000"/>
          <w:spacing w:val="0"/>
          <w:w w:val="100"/>
          <w:sz w:val="16"/>
          <w:vertAlign w:val="baseline"/>
          <w:lang w:val="en-US"/>
        </w:rPr>
        <w:t xml:space="preserve"></w:t>
        <w:br/>
      </w:r>
      <w:r>
        <w:rPr>
          <w:rFonts w:ascii="Arial" w:hAnsi="Arial" w:eastAsia="Arial"/>
          <w:b w:val="true"/>
          <w:color w:val="000000"/>
          <w:spacing w:val="0"/>
          <w:w w:val="100"/>
          <w:sz w:val="26"/>
          <w:vertAlign w:val="baseline"/>
          <w:lang w:val="en-US"/>
        </w:rPr>
        <w:t xml:space="preserve">Effective September 1, 1967</w:t>
      </w:r>
    </w:p>
    <w:p>
      <w:pPr>
        <w:pageBreakBefore w:val="false"/>
        <w:spacing w:before="308" w:after="0" w:line="307" w:lineRule="exact"/>
        <w:ind w:right="0" w:left="0" w:firstLine="0"/>
        <w:jc w:val="center"/>
        <w:textAlignment w:val="baseline"/>
        <w:rPr>
          <w:rFonts w:ascii="Arial" w:hAnsi="Arial" w:eastAsia="Arial"/>
          <w:b w:val="true"/>
          <w:color w:val="000000"/>
          <w:spacing w:val="0"/>
          <w:w w:val="100"/>
          <w:sz w:val="26"/>
          <w:vertAlign w:val="baseline"/>
          <w:lang w:val="en-US"/>
        </w:rPr>
      </w:pPr>
      <w:r>
        <w:rPr>
          <w:rFonts w:ascii="Arial" w:hAnsi="Arial" w:eastAsia="Arial"/>
          <w:b w:val="true"/>
          <w:color w:val="000000"/>
          <w:spacing w:val="0"/>
          <w:w w:val="100"/>
          <w:sz w:val="26"/>
          <w:vertAlign w:val="baseline"/>
          <w:lang w:val="en-US"/>
        </w:rPr>
        <w:t xml:space="preserve">Penal Law § 125.26(3)(a)</w:t>
        <w:br/>
      </w:r>
      <w:r>
        <w:rPr>
          <w:rFonts w:ascii="Arial" w:hAnsi="Arial" w:eastAsia="Arial"/>
          <w:b w:val="true"/>
          <w:color w:val="000000"/>
          <w:spacing w:val="0"/>
          <w:w w:val="100"/>
          <w:sz w:val="26"/>
          <w:vertAlign w:val="baseline"/>
          <w:lang w:val="en-US"/>
        </w:rPr>
        <w:t xml:space="preserve">Effective December 21, 2005</w:t>
      </w:r>
    </w:p>
    <w:p>
      <w:pPr>
        <w:pageBreakBefore w:val="false"/>
        <w:spacing w:before="307" w:after="262" w:line="307" w:lineRule="exact"/>
        <w:ind w:right="0" w:left="0" w:firstLine="0"/>
        <w:jc w:val="center"/>
        <w:textAlignment w:val="baseline"/>
        <w:rPr>
          <w:rFonts w:ascii="Arial" w:hAnsi="Arial" w:eastAsia="Arial"/>
          <w:b w:val="true"/>
          <w:color w:val="000000"/>
          <w:spacing w:val="0"/>
          <w:w w:val="100"/>
          <w:sz w:val="26"/>
          <w:vertAlign w:val="baseline"/>
          <w:lang w:val="en-US"/>
        </w:rPr>
      </w:pPr>
      <w:r>
        <w:rPr>
          <w:rFonts w:ascii="Arial" w:hAnsi="Arial" w:eastAsia="Arial"/>
          <w:b w:val="true"/>
          <w:color w:val="000000"/>
          <w:spacing w:val="0"/>
          <w:w w:val="100"/>
          <w:sz w:val="26"/>
          <w:vertAlign w:val="baseline"/>
          <w:lang w:val="en-US"/>
        </w:rPr>
        <w:t xml:space="preserve">Penal Law § 125.27 (2)(a)</w:t>
        <w:br/>
      </w:r>
      <w:r>
        <w:rPr>
          <w:rFonts w:ascii="Arial" w:hAnsi="Arial" w:eastAsia="Arial"/>
          <w:b w:val="true"/>
          <w:color w:val="000000"/>
          <w:spacing w:val="0"/>
          <w:w w:val="100"/>
          <w:sz w:val="26"/>
          <w:vertAlign w:val="baseline"/>
          <w:lang w:val="en-US"/>
        </w:rPr>
        <w:t xml:space="preserve">Effective September 1, 1995</w:t>
      </w:r>
    </w:p>
    <w:p>
      <w:pPr>
        <w:pageBreakBefore w:val="false"/>
        <w:spacing w:before="331" w:after="253" w:line="297" w:lineRule="exact"/>
        <w:ind w:right="720" w:left="720" w:firstLine="0"/>
        <w:jc w:val="both"/>
        <w:textAlignment w:val="baseline"/>
        <w:rPr>
          <w:rFonts w:ascii="Arial" w:hAnsi="Arial" w:eastAsia="Arial"/>
          <w:i w:val="true"/>
          <w:color w:val="000000"/>
          <w:spacing w:val="0"/>
          <w:w w:val="100"/>
          <w:sz w:val="26"/>
          <w:vertAlign w:val="baseline"/>
          <w:lang w:val="en-US"/>
        </w:rPr>
      </w:pPr>
      <w:r>
        <w:pict>
          <v:line strokeweight="0.95pt" strokecolor="#000000" from="266.15pt,236.4pt" to="345.9pt,236.4pt" style="position:absolute;mso-position-horizontal-relative:page;mso-position-vertical-relative:page;">
            <v:stroke dashstyle="solid"/>
          </v:line>
        </w:pict>
      </w:r>
      <w:r>
        <w:rPr>
          <w:rFonts w:ascii="Arial" w:hAnsi="Arial" w:eastAsia="Arial"/>
          <w:i w:val="true"/>
          <w:color w:val="000000"/>
          <w:spacing w:val="0"/>
          <w:w w:val="100"/>
          <w:sz w:val="26"/>
          <w:vertAlign w:val="baseline"/>
          <w:lang w:val="en-US"/>
        </w:rPr>
        <w:t xml:space="preserve">If applicable, omit the final two paragraphs of the instructions on the crime charged, and substitute the following:</w:t>
      </w:r>
    </w:p>
    <w:p>
      <w:pPr>
        <w:pageBreakBefore w:val="false"/>
        <w:spacing w:before="328" w:after="0" w:line="298" w:lineRule="exact"/>
        <w:ind w:right="0" w:left="0" w:firstLine="720"/>
        <w:jc w:val="both"/>
        <w:textAlignment w:val="baseline"/>
        <w:rPr>
          <w:rFonts w:ascii="Arial" w:hAnsi="Arial" w:eastAsia="Arial"/>
          <w:color w:val="000000"/>
          <w:spacing w:val="-4"/>
          <w:w w:val="100"/>
          <w:sz w:val="26"/>
          <w:vertAlign w:val="baseline"/>
          <w:lang w:val="en-US"/>
        </w:rPr>
      </w:pPr>
      <w:r>
        <w:pict>
          <v:line strokeweight="0.95pt" strokecolor="#000000" from="262.55pt,310.55pt" to="349.5pt,310.55pt" style="position:absolute;mso-position-horizontal-relative:page;mso-position-vertical-relative:page;">
            <v:stroke dashstyle="solid"/>
          </v:line>
        </w:pict>
      </w:r>
      <w:r>
        <w:rPr>
          <w:rFonts w:ascii="Arial" w:hAnsi="Arial" w:eastAsia="Arial"/>
          <w:color w:val="000000"/>
          <w:spacing w:val="-4"/>
          <w:w w:val="100"/>
          <w:sz w:val="26"/>
          <w:vertAlign w:val="baseline"/>
          <w:lang w:val="en-US"/>
        </w:rPr>
        <w:t xml:space="preserve">If you find that the People have not proven beyond a reasonable doubt any one of those elements, you must find the defendant not guilty of Murder in the (</w:t>
      </w:r>
      <w:r>
        <w:rPr>
          <w:rFonts w:ascii="Arial" w:hAnsi="Arial" w:eastAsia="Arial"/>
          <w:i w:val="true"/>
          <w:color w:val="000000"/>
          <w:spacing w:val="-4"/>
          <w:w w:val="100"/>
          <w:sz w:val="26"/>
          <w:u w:val="single"/>
          <w:vertAlign w:val="baseline"/>
          <w:lang w:val="en-US"/>
        </w:rPr>
        <w:t xml:space="preserve">specify</w:t>
      </w:r>
      <w:r>
        <w:rPr>
          <w:rFonts w:ascii="Arial" w:hAnsi="Arial" w:eastAsia="Arial"/>
          <w:color w:val="000000"/>
          <w:spacing w:val="-4"/>
          <w:w w:val="100"/>
          <w:sz w:val="26"/>
          <w:vertAlign w:val="baseline"/>
          <w:lang w:val="en-US"/>
        </w:rPr>
        <w:t xml:space="preserve">) degree.</w:t>
      </w:r>
    </w:p>
    <w:p>
      <w:pPr>
        <w:pageBreakBefore w:val="false"/>
        <w:spacing w:before="298" w:after="0" w:line="298" w:lineRule="exact"/>
        <w:ind w:right="0" w:left="0" w:firstLine="720"/>
        <w:jc w:val="both"/>
        <w:textAlignment w:val="baseline"/>
        <w:rPr>
          <w:rFonts w:ascii="Arial" w:hAnsi="Arial" w:eastAsia="Arial"/>
          <w:color w:val="000000"/>
          <w:spacing w:val="-4"/>
          <w:w w:val="100"/>
          <w:sz w:val="26"/>
          <w:vertAlign w:val="baseline"/>
          <w:lang w:val="en-US"/>
        </w:rPr>
      </w:pPr>
      <w:r>
        <w:rPr>
          <w:rFonts w:ascii="Arial" w:hAnsi="Arial" w:eastAsia="Arial"/>
          <w:color w:val="000000"/>
          <w:spacing w:val="-4"/>
          <w:w w:val="100"/>
          <w:sz w:val="26"/>
          <w:vertAlign w:val="baseline"/>
          <w:lang w:val="en-US"/>
        </w:rPr>
        <w:t xml:space="preserve">If you find that the People have proven beyond a reasonable doubt each of the elements, you must consider an affirmative defense the defendant has raised. That defense, if proved, does not relieve the defendant of responsibility for the homicide, but, under our law, it reduces the degree of the crime from Murder in the (</w:t>
      </w:r>
      <w:r>
        <w:rPr>
          <w:rFonts w:ascii="Arial" w:hAnsi="Arial" w:eastAsia="Arial"/>
          <w:i w:val="true"/>
          <w:color w:val="000000"/>
          <w:spacing w:val="-4"/>
          <w:w w:val="100"/>
          <w:sz w:val="26"/>
          <w:u w:val="single"/>
          <w:vertAlign w:val="baseline"/>
          <w:lang w:val="en-US"/>
        </w:rPr>
        <w:t xml:space="preserve">specify</w:t>
      </w:r>
      <w:r>
        <w:rPr>
          <w:rFonts w:ascii="Arial" w:hAnsi="Arial" w:eastAsia="Arial"/>
          <w:color w:val="000000"/>
          <w:spacing w:val="-4"/>
          <w:w w:val="100"/>
          <w:sz w:val="26"/>
          <w:vertAlign w:val="baseline"/>
          <w:lang w:val="en-US"/>
        </w:rPr>
        <w:t xml:space="preserve">) degree to Manslaughter in the First Degree. Remember, if you have already found the defendant not guilty of Murder in the (</w:t>
      </w:r>
      <w:r>
        <w:rPr>
          <w:rFonts w:ascii="Arial" w:hAnsi="Arial" w:eastAsia="Arial"/>
          <w:i w:val="true"/>
          <w:color w:val="000000"/>
          <w:spacing w:val="-4"/>
          <w:w w:val="100"/>
          <w:sz w:val="26"/>
          <w:u w:val="single"/>
          <w:vertAlign w:val="baseline"/>
          <w:lang w:val="en-US"/>
        </w:rPr>
        <w:t xml:space="preserve">specify</w:t>
      </w:r>
      <w:r>
        <w:rPr>
          <w:rFonts w:ascii="Arial" w:hAnsi="Arial" w:eastAsia="Arial"/>
          <w:color w:val="000000"/>
          <w:spacing w:val="-4"/>
          <w:w w:val="100"/>
          <w:sz w:val="26"/>
          <w:vertAlign w:val="baseline"/>
          <w:lang w:val="en-US"/>
        </w:rPr>
        <w:t xml:space="preserve">) degree, you will not consider the affirmative defense.</w:t>
      </w:r>
    </w:p>
    <w:p>
      <w:pPr>
        <w:pageBreakBefore w:val="false"/>
        <w:spacing w:before="287" w:after="0" w:line="298"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Under our law, it is an affirmative defense to a charge of Murder in the (</w:t>
      </w:r>
      <w:r>
        <w:rPr>
          <w:rFonts w:ascii="Arial" w:hAnsi="Arial" w:eastAsia="Arial"/>
          <w:i w:val="true"/>
          <w:color w:val="000000"/>
          <w:spacing w:val="0"/>
          <w:w w:val="100"/>
          <w:sz w:val="26"/>
          <w:u w:val="single"/>
          <w:vertAlign w:val="baseline"/>
          <w:lang w:val="en-US"/>
        </w:rPr>
        <w:t xml:space="preserve">specify</w:t>
      </w:r>
      <w:r>
        <w:rPr>
          <w:rFonts w:ascii="Arial" w:hAnsi="Arial" w:eastAsia="Arial"/>
          <w:color w:val="000000"/>
          <w:spacing w:val="0"/>
          <w:w w:val="100"/>
          <w:sz w:val="26"/>
          <w:vertAlign w:val="baseline"/>
          <w:lang w:val="en-US"/>
        </w:rPr>
        <w:t xml:space="preserve">) degree that the defendant acted under the influence of extreme emotional disturbance for which there was a reasonable explanation or excuse. The reasonableness of that explanation or excuse is to be determined from the viewpoint of a person in the defendant's situation under the circumstances as the defendant believed them to be.</w:t>
      </w:r>
      <w:r>
        <w:rPr>
          <w:rFonts w:ascii="Arial" w:hAnsi="Arial" w:eastAsia="Arial"/>
          <w:color w:val="000000"/>
          <w:spacing w:val="0"/>
          <w:w w:val="100"/>
          <w:sz w:val="26"/>
          <w:vertAlign w:val="superscript"/>
          <w:lang w:val="en-US"/>
        </w:rPr>
        <w:t xml:space="preserve">3</w:t>
      </w:r>
      <w:r>
        <w:rPr>
          <w:rFonts w:ascii="Arial" w:hAnsi="Arial" w:eastAsia="Arial"/>
          <w:color w:val="000000"/>
          <w:spacing w:val="0"/>
          <w:w w:val="100"/>
          <w:sz w:val="16"/>
          <w:vertAlign w:val="baseline"/>
          <w:lang w:val="en-US"/>
        </w:rPr>
        <w:t xml:space="preserve">
</w:t>
      </w:r>
    </w:p>
    <w:p>
      <w:pPr>
        <w:pageBreakBefore w:val="false"/>
        <w:spacing w:before="311" w:after="0" w:line="292"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The affirmative defense of extreme emotional disturbance has three principal components.</w:t>
      </w:r>
      <w:r>
        <w:rPr>
          <w:rFonts w:ascii="Arial" w:hAnsi="Arial" w:eastAsia="Arial"/>
          <w:color w:val="000000"/>
          <w:spacing w:val="0"/>
          <w:w w:val="100"/>
          <w:sz w:val="26"/>
          <w:vertAlign w:val="superscript"/>
          <w:lang w:val="en-US"/>
        </w:rPr>
        <w:t xml:space="preserve">4</w:t>
      </w:r>
      <w:r>
        <w:rPr>
          <w:rFonts w:ascii="Arial" w:hAnsi="Arial" w:eastAsia="Arial"/>
          <w:color w:val="000000"/>
          <w:spacing w:val="0"/>
          <w:w w:val="100"/>
          <w:sz w:val="16"/>
          <w:vertAlign w:val="baseline"/>
          <w:lang w:val="en-US"/>
        </w:rPr>
        <w:t xml:space="preserve">
</w:t>
      </w:r>
    </w:p>
    <w:p>
      <w:pPr>
        <w:pageBreakBefore w:val="false"/>
        <w:spacing w:before="302" w:after="0" w:line="298"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First, the defendant must have had an extreme emotional disturbance, that is, the defendant must have had an emotional disturbance so extreme as to result in and become manifest as a</w:t>
      </w:r>
    </w:p>
    <w:p>
      <w:pPr>
        <w:sectPr>
          <w:type w:val="nextPage"/>
          <w:pgSz w:w="12240" w:h="15840" w:orient="portrait"/>
          <w:pgMar w:bottom="864" w:top="1080" w:right="2140" w:left="2160" w:header="720" w:footer="720"/>
          <w:titlePg w:val="false"/>
          <w:textDirection w:val="lrTb"/>
        </w:sectPr>
      </w:pPr>
    </w:p>
    <w:p>
      <w:pPr>
        <w:pageBreakBefore w:val="false"/>
        <w:spacing w:before="23" w:after="0" w:line="298" w:lineRule="exact"/>
        <w:ind w:right="0" w:left="0" w:firstLine="0"/>
        <w:jc w:val="left"/>
        <w:textAlignment w:val="baseline"/>
        <w:rPr>
          <w:rFonts w:ascii="Arial" w:hAnsi="Arial" w:eastAsia="Arial"/>
          <w:color w:val="000000"/>
          <w:spacing w:val="-2"/>
          <w:w w:val="100"/>
          <w:sz w:val="26"/>
          <w:vertAlign w:val="baseline"/>
          <w:lang w:val="en-US"/>
        </w:rPr>
      </w:pPr>
      <w:r>
        <w:rPr>
          <w:rFonts w:ascii="Arial" w:hAnsi="Arial" w:eastAsia="Arial"/>
          <w:color w:val="000000"/>
          <w:spacing w:val="-2"/>
          <w:w w:val="100"/>
          <w:sz w:val="26"/>
          <w:vertAlign w:val="baseline"/>
          <w:lang w:val="en-US"/>
        </w:rPr>
        <w:t xml:space="preserve">profound loss of self-control.</w:t>
      </w:r>
      <w:r>
        <w:rPr>
          <w:rFonts w:ascii="Arial" w:hAnsi="Arial" w:eastAsia="Arial"/>
          <w:color w:val="000000"/>
          <w:spacing w:val="-2"/>
          <w:w w:val="100"/>
          <w:sz w:val="26"/>
          <w:vertAlign w:val="superscript"/>
          <w:lang w:val="en-US"/>
        </w:rPr>
        <w:t xml:space="preserve">5</w:t>
      </w:r>
      <w:r>
        <w:rPr>
          <w:rFonts w:ascii="Arial" w:hAnsi="Arial" w:eastAsia="Arial"/>
          <w:color w:val="000000"/>
          <w:spacing w:val="-2"/>
          <w:w w:val="100"/>
          <w:sz w:val="16"/>
          <w:vertAlign w:val="baseline"/>
          <w:lang w:val="en-US"/>
        </w:rPr>
        <w:t xml:space="preserve">
</w:t>
      </w:r>
    </w:p>
    <w:p>
      <w:pPr>
        <w:pageBreakBefore w:val="false"/>
        <w:spacing w:before="295" w:after="0" w:line="298"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Second, there must have been an explanation or excuse for such extreme emotional disturbance that was reasonable. The reasonableness of that explanation or excuse must be determined from the viewpoint of a person in the defendant's situation under the circumstances as the defendant believed them to be.</w:t>
      </w:r>
    </w:p>
    <w:p>
      <w:pPr>
        <w:pageBreakBefore w:val="false"/>
        <w:spacing w:before="308" w:after="0" w:line="292"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Third, in committing the homicide, the defendant must have acted under the influence of that extreme emotional disturbance.</w:t>
      </w:r>
    </w:p>
    <w:p>
      <w:pPr>
        <w:pageBreakBefore w:val="false"/>
        <w:spacing w:before="296" w:after="0" w:line="298" w:lineRule="exact"/>
        <w:ind w:right="0" w:left="0" w:firstLine="720"/>
        <w:jc w:val="both"/>
        <w:textAlignment w:val="baseline"/>
        <w:rPr>
          <w:rFonts w:ascii="Arial" w:hAnsi="Arial" w:eastAsia="Arial"/>
          <w:color w:val="000000"/>
          <w:spacing w:val="-4"/>
          <w:w w:val="100"/>
          <w:sz w:val="26"/>
          <w:vertAlign w:val="baseline"/>
          <w:lang w:val="en-US"/>
        </w:rPr>
      </w:pPr>
      <w:r>
        <w:rPr>
          <w:rFonts w:ascii="Arial" w:hAnsi="Arial" w:eastAsia="Arial"/>
          <w:color w:val="000000"/>
          <w:spacing w:val="-4"/>
          <w:w w:val="100"/>
          <w:sz w:val="26"/>
          <w:vertAlign w:val="baseline"/>
          <w:lang w:val="en-US"/>
        </w:rPr>
        <w:t xml:space="preserve">Your determination of the reasonableness of the explanation or excuse must be made initially by determining the situation in which the defendant found himself/herself, including the circumstances as he/she believed them to be at the time, however inaccurate that belief may have been. Then, you must determine whether, from the viewpoint of a person in that situation, the explanation or excuse was reasonable.</w:t>
      </w:r>
    </w:p>
    <w:p>
      <w:pPr>
        <w:pageBreakBefore w:val="false"/>
        <w:spacing w:before="300" w:after="0" w:line="298"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Remember, it is not the act of killing that must be supported by a reasonable explanation or excuse. It is the extreme emotional disturbance for which there must be a reasonable explanation or excuse.</w:t>
      </w:r>
    </w:p>
    <w:p>
      <w:pPr>
        <w:pageBreakBefore w:val="false"/>
        <w:spacing w:before="298" w:after="0" w:line="295" w:lineRule="exact"/>
        <w:ind w:right="0" w:left="720" w:firstLine="0"/>
        <w:jc w:val="both"/>
        <w:textAlignment w:val="baseline"/>
        <w:rPr>
          <w:rFonts w:ascii="Arial" w:hAnsi="Arial" w:eastAsia="Arial"/>
          <w:i w:val="true"/>
          <w:color w:val="000000"/>
          <w:spacing w:val="0"/>
          <w:w w:val="100"/>
          <w:sz w:val="26"/>
          <w:u w:val="single"/>
          <w:vertAlign w:val="baseline"/>
          <w:lang w:val="en-US"/>
        </w:rPr>
      </w:pPr>
      <w:r>
        <w:rPr>
          <w:rFonts w:ascii="Arial" w:hAnsi="Arial" w:eastAsia="Arial"/>
          <w:i w:val="true"/>
          <w:color w:val="000000"/>
          <w:spacing w:val="0"/>
          <w:w w:val="100"/>
          <w:sz w:val="26"/>
          <w:u w:val="single"/>
          <w:vertAlign w:val="baseline"/>
          <w:lang w:val="en-US"/>
        </w:rPr>
        <w:t xml:space="preserve">Add if applicable: </w:t>
      </w:r>
    </w:p>
    <w:p>
      <w:pPr>
        <w:pageBreakBefore w:val="false"/>
        <w:spacing w:before="0" w:after="0" w:line="295" w:lineRule="exact"/>
        <w:ind w:right="0" w:left="72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It is not, however, a "reasonable explanation or excuse" that the defendant's conduct resulted from the discovery, knowledge or disclosure of the victim's sexual orientation, sex, gender, gender identity, gender expression or sex assigned at birth.</w:t>
      </w:r>
      <w:r>
        <w:rPr>
          <w:rFonts w:ascii="Arial" w:hAnsi="Arial" w:eastAsia="Arial"/>
          <w:color w:val="000000"/>
          <w:spacing w:val="0"/>
          <w:w w:val="100"/>
          <w:sz w:val="26"/>
          <w:vertAlign w:val="superscript"/>
          <w:lang w:val="en-US"/>
        </w:rPr>
        <w:t xml:space="preserve">6</w:t>
      </w:r>
      <w:r>
        <w:rPr>
          <w:rFonts w:ascii="Arial" w:hAnsi="Arial" w:eastAsia="Arial"/>
          <w:color w:val="000000"/>
          <w:spacing w:val="0"/>
          <w:w w:val="100"/>
          <w:sz w:val="16"/>
          <w:vertAlign w:val="baseline"/>
          <w:lang w:val="en-US"/>
        </w:rPr>
        <w:t xml:space="preserve">
</w:t>
      </w:r>
    </w:p>
    <w:p>
      <w:pPr>
        <w:pageBreakBefore w:val="false"/>
        <w:spacing w:before="313" w:after="0" w:line="298"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Under our law, the defendant has the burden of proving this affirmative defense by a preponderance of the evidence.</w:t>
      </w:r>
    </w:p>
    <w:p>
      <w:pPr>
        <w:pageBreakBefore w:val="false"/>
        <w:spacing w:before="296" w:after="0" w:line="298"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In determining whether the defendant has proven the affirmative defense by a preponderance of the evidence, you must consider any relevant evidence whether introduced by the People or by the defendant.</w:t>
      </w:r>
    </w:p>
    <w:p>
      <w:pPr>
        <w:pageBreakBefore w:val="false"/>
        <w:spacing w:before="295" w:after="0" w:line="298" w:lineRule="exact"/>
        <w:ind w:right="0" w:left="0" w:firstLine="720"/>
        <w:jc w:val="both"/>
        <w:textAlignment w:val="baseline"/>
        <w:rPr>
          <w:rFonts w:ascii="Arial" w:hAnsi="Arial" w:eastAsia="Arial"/>
          <w:color w:val="000000"/>
          <w:spacing w:val="-3"/>
          <w:w w:val="100"/>
          <w:sz w:val="26"/>
          <w:vertAlign w:val="baseline"/>
          <w:lang w:val="en-US"/>
        </w:rPr>
      </w:pPr>
      <w:r>
        <w:rPr>
          <w:rFonts w:ascii="Arial" w:hAnsi="Arial" w:eastAsia="Arial"/>
          <w:color w:val="000000"/>
          <w:spacing w:val="-3"/>
          <w:w w:val="100"/>
          <w:sz w:val="26"/>
          <w:vertAlign w:val="baseline"/>
          <w:lang w:val="en-US"/>
        </w:rPr>
        <w:t xml:space="preserve">A preponderance of the evidence means the greater part of the believable and reliable evidence, not in terms of the number of witnesses or the length of time taken to present the evidence, but in terms of its quality and the weight and convincing effect it has. For the affirmative defense to be proved by a preponderance of the evidence, the evidence that supports the affirmative defense must be of such</w:t>
      </w:r>
    </w:p>
    <w:p>
      <w:pPr>
        <w:pageBreakBefore w:val="false"/>
        <w:spacing w:before="351" w:after="0" w:line="227"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2</w:t>
      </w:r>
    </w:p>
    <w:p>
      <w:pPr>
        <w:sectPr>
          <w:type w:val="nextPage"/>
          <w:pgSz w:w="12240" w:h="15840" w:orient="portrait"/>
          <w:pgMar w:bottom="664" w:top="1060" w:right="2143" w:left="2157" w:header="720" w:footer="720"/>
          <w:titlePg w:val="false"/>
          <w:textDirection w:val="lrTb"/>
        </w:sectPr>
      </w:pPr>
    </w:p>
    <w:p>
      <w:pPr>
        <w:pageBreakBefore w:val="false"/>
        <w:spacing w:before="12" w:after="0" w:line="297" w:lineRule="exact"/>
        <w:ind w:right="0" w:left="72" w:firstLine="0"/>
        <w:jc w:val="left"/>
        <w:textAlignment w:val="baseline"/>
        <w:rPr>
          <w:rFonts w:ascii="Arial" w:hAnsi="Arial" w:eastAsia="Arial"/>
          <w:color w:val="000000"/>
          <w:spacing w:val="-1"/>
          <w:w w:val="100"/>
          <w:sz w:val="26"/>
          <w:vertAlign w:val="baseline"/>
          <w:lang w:val="en-US"/>
        </w:rPr>
      </w:pPr>
      <w:r>
        <w:rPr>
          <w:rFonts w:ascii="Arial" w:hAnsi="Arial" w:eastAsia="Arial"/>
          <w:color w:val="000000"/>
          <w:spacing w:val="-1"/>
          <w:w w:val="100"/>
          <w:sz w:val="26"/>
          <w:vertAlign w:val="baseline"/>
          <w:lang w:val="en-US"/>
        </w:rPr>
        <w:t xml:space="preserve">convincing quality as to outweigh any evidence to the contrary.</w:t>
      </w:r>
    </w:p>
    <w:p>
      <w:pPr>
        <w:pageBreakBefore w:val="false"/>
        <w:spacing w:before="296" w:after="0" w:line="297" w:lineRule="exact"/>
        <w:ind w:right="0" w:left="72" w:firstLine="648"/>
        <w:jc w:val="both"/>
        <w:textAlignment w:val="baseline"/>
        <w:rPr>
          <w:rFonts w:ascii="Arial" w:hAnsi="Arial" w:eastAsia="Arial"/>
          <w:color w:val="000000"/>
          <w:spacing w:val="-4"/>
          <w:w w:val="100"/>
          <w:sz w:val="26"/>
          <w:vertAlign w:val="baseline"/>
          <w:lang w:val="en-US"/>
        </w:rPr>
      </w:pPr>
      <w:r>
        <w:rPr>
          <w:rFonts w:ascii="Arial" w:hAnsi="Arial" w:eastAsia="Arial"/>
          <w:color w:val="000000"/>
          <w:spacing w:val="-4"/>
          <w:w w:val="100"/>
          <w:sz w:val="26"/>
          <w:vertAlign w:val="baseline"/>
          <w:lang w:val="en-US"/>
        </w:rPr>
        <w:t xml:space="preserve">If you find that the defendant has not proven the affirmative defense by a preponderance of the evidence, then, based upon your initial determination that the People had proven beyond a reasonable doubt each of the elements of Murder in the (</w:t>
      </w:r>
      <w:r>
        <w:rPr>
          <w:rFonts w:ascii="Arial" w:hAnsi="Arial" w:eastAsia="Arial"/>
          <w:i w:val="true"/>
          <w:color w:val="000000"/>
          <w:spacing w:val="-4"/>
          <w:w w:val="100"/>
          <w:sz w:val="26"/>
          <w:u w:val="single"/>
          <w:vertAlign w:val="baseline"/>
          <w:lang w:val="en-US"/>
        </w:rPr>
        <w:t xml:space="preserve">specify</w:t>
      </w:r>
      <w:r>
        <w:rPr>
          <w:rFonts w:ascii="Arial" w:hAnsi="Arial" w:eastAsia="Arial"/>
          <w:color w:val="000000"/>
          <w:spacing w:val="-4"/>
          <w:w w:val="100"/>
          <w:sz w:val="26"/>
          <w:vertAlign w:val="baseline"/>
          <w:lang w:val="en-US"/>
        </w:rPr>
        <w:t xml:space="preserve">) degree, you must find the defendant guilty of Murder in the (</w:t>
      </w:r>
      <w:r>
        <w:rPr>
          <w:rFonts w:ascii="Arial" w:hAnsi="Arial" w:eastAsia="Arial"/>
          <w:i w:val="true"/>
          <w:color w:val="000000"/>
          <w:spacing w:val="-4"/>
          <w:w w:val="100"/>
          <w:sz w:val="26"/>
          <w:u w:val="single"/>
          <w:vertAlign w:val="baseline"/>
          <w:lang w:val="en-US"/>
        </w:rPr>
        <w:t xml:space="preserve">specify</w:t>
      </w:r>
      <w:r>
        <w:rPr>
          <w:rFonts w:ascii="Arial" w:hAnsi="Arial" w:eastAsia="Arial"/>
          <w:color w:val="000000"/>
          <w:spacing w:val="-4"/>
          <w:w w:val="100"/>
          <w:sz w:val="26"/>
          <w:vertAlign w:val="baseline"/>
          <w:lang w:val="en-US"/>
        </w:rPr>
        <w:t xml:space="preserve">) degree.</w:t>
      </w:r>
    </w:p>
    <w:p>
      <w:pPr>
        <w:pageBreakBefore w:val="false"/>
        <w:spacing w:before="300" w:after="560" w:line="297" w:lineRule="exact"/>
        <w:ind w:right="0" w:left="72" w:firstLine="648"/>
        <w:jc w:val="both"/>
        <w:textAlignment w:val="baseline"/>
        <w:rPr>
          <w:rFonts w:ascii="Arial" w:hAnsi="Arial" w:eastAsia="Arial"/>
          <w:color w:val="000000"/>
          <w:spacing w:val="-3"/>
          <w:w w:val="100"/>
          <w:sz w:val="26"/>
          <w:vertAlign w:val="baseline"/>
          <w:lang w:val="en-US"/>
        </w:rPr>
      </w:pPr>
      <w:r>
        <w:rPr>
          <w:rFonts w:ascii="Arial" w:hAnsi="Arial" w:eastAsia="Arial"/>
          <w:color w:val="000000"/>
          <w:spacing w:val="-3"/>
          <w:w w:val="100"/>
          <w:sz w:val="26"/>
          <w:vertAlign w:val="baseline"/>
          <w:lang w:val="en-US"/>
        </w:rPr>
        <w:t xml:space="preserve">If you find that the defendant has proven the affirmative defense by a preponderance of the evidence, then you must find the defendant not guilty of Murder in the (</w:t>
      </w:r>
      <w:r>
        <w:rPr>
          <w:rFonts w:ascii="Arial" w:hAnsi="Arial" w:eastAsia="Arial"/>
          <w:i w:val="true"/>
          <w:color w:val="000000"/>
          <w:spacing w:val="-3"/>
          <w:w w:val="100"/>
          <w:sz w:val="26"/>
          <w:u w:val="single"/>
          <w:vertAlign w:val="baseline"/>
          <w:lang w:val="en-US"/>
        </w:rPr>
        <w:t xml:space="preserve">specify</w:t>
      </w:r>
      <w:r>
        <w:rPr>
          <w:rFonts w:ascii="Arial" w:hAnsi="Arial" w:eastAsia="Arial"/>
          <w:color w:val="000000"/>
          <w:spacing w:val="-3"/>
          <w:w w:val="100"/>
          <w:sz w:val="26"/>
          <w:vertAlign w:val="baseline"/>
          <w:lang w:val="en-US"/>
        </w:rPr>
        <w:t xml:space="preserve">) degree as charged in the (</w:t>
      </w:r>
      <w:r>
        <w:rPr>
          <w:rFonts w:ascii="Arial" w:hAnsi="Arial" w:eastAsia="Arial"/>
          <w:i w:val="true"/>
          <w:color w:val="000000"/>
          <w:spacing w:val="-3"/>
          <w:w w:val="100"/>
          <w:sz w:val="26"/>
          <w:u w:val="single"/>
          <w:vertAlign w:val="baseline"/>
          <w:lang w:val="en-US"/>
        </w:rPr>
        <w:t xml:space="preserve">specify</w:t>
      </w:r>
      <w:r>
        <w:rPr>
          <w:rFonts w:ascii="Arial" w:hAnsi="Arial" w:eastAsia="Arial"/>
          <w:color w:val="000000"/>
          <w:spacing w:val="-3"/>
          <w:w w:val="100"/>
          <w:sz w:val="26"/>
          <w:vertAlign w:val="baseline"/>
          <w:lang w:val="en-US"/>
        </w:rPr>
        <w:t xml:space="preserve">) count, but you must find the defendant guilty of the reduced charge of Manslaughter in the First Degree.</w:t>
      </w:r>
    </w:p>
    <w:p>
      <w:pPr>
        <w:pageBreakBefore w:val="false"/>
        <w:numPr>
          <w:ilvl w:val="0"/>
          <w:numId w:val="1"/>
        </w:numPr>
        <w:tabs>
          <w:tab w:val="clear" w:pos="216"/>
          <w:tab w:val="left" w:pos="288"/>
        </w:tabs>
        <w:spacing w:before="316" w:after="0" w:line="279" w:lineRule="exact"/>
        <w:ind w:right="0" w:left="72" w:firstLine="0"/>
        <w:jc w:val="both"/>
        <w:textAlignment w:val="baseline"/>
        <w:rPr>
          <w:rFonts w:ascii="Arial" w:hAnsi="Arial" w:eastAsia="Arial"/>
          <w:color w:val="000000"/>
          <w:spacing w:val="0"/>
          <w:w w:val="100"/>
          <w:sz w:val="24"/>
          <w:vertAlign w:val="baseline"/>
          <w:lang w:val="en-US"/>
        </w:rPr>
      </w:pPr>
      <w:r>
        <w:pict>
          <v:line strokeweight="0.95pt" strokecolor="#000000" from="107.55pt,276.7pt" to="460.85pt,276.7pt" style="position:absolute;mso-position-horizontal-relative:page;mso-position-vertical-relative:page;">
            <v:stroke dashstyle="solid"/>
          </v:line>
        </w:pict>
      </w:r>
      <w:r>
        <w:rPr>
          <w:rFonts w:ascii="Arial" w:hAnsi="Arial" w:eastAsia="Arial"/>
          <w:color w:val="000000"/>
          <w:spacing w:val="0"/>
          <w:w w:val="100"/>
          <w:sz w:val="24"/>
          <w:vertAlign w:val="baseline"/>
          <w:lang w:val="en-US"/>
        </w:rPr>
        <w:t xml:space="preserve">The February, 2016 revision was for the purpose of adding language in accord with </w:t>
      </w:r>
      <w:r>
        <w:rPr>
          <w:rFonts w:ascii="Arial" w:hAnsi="Arial" w:eastAsia="Arial"/>
          <w:i w:val="true"/>
          <w:color w:val="000000"/>
          <w:spacing w:val="0"/>
          <w:w w:val="100"/>
          <w:sz w:val="24"/>
          <w:vertAlign w:val="baseline"/>
          <w:lang w:val="en-US"/>
        </w:rPr>
        <w:t xml:space="preserve">People v McKenzie</w:t>
      </w:r>
      <w:r>
        <w:rPr>
          <w:rFonts w:ascii="Arial" w:hAnsi="Arial" w:eastAsia="Arial"/>
          <w:color w:val="000000"/>
          <w:spacing w:val="0"/>
          <w:w w:val="100"/>
          <w:sz w:val="24"/>
          <w:vertAlign w:val="baseline"/>
          <w:lang w:val="en-US"/>
        </w:rPr>
        <w:t xml:space="preserve">, 19 NY3d 463 (2012).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endnote five.</w:t>
      </w:r>
    </w:p>
    <w:p>
      <w:pPr>
        <w:pageBreakBefore w:val="false"/>
        <w:spacing w:before="0" w:after="0" w:line="276" w:lineRule="exact"/>
        <w:ind w:right="0" w:left="72" w:firstLine="216"/>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The December, 2019 revision was for the purpose of including a statutory amendment of the defense that excludes a defense based upon the sexual orientation or gender of the victim [Laws of 2019, ch. 45].</w:t>
      </w:r>
    </w:p>
    <w:p>
      <w:pPr>
        <w:pageBreakBefore w:val="false"/>
        <w:numPr>
          <w:ilvl w:val="0"/>
          <w:numId w:val="2"/>
        </w:numPr>
        <w:tabs>
          <w:tab w:val="clear" w:pos="288"/>
          <w:tab w:val="left" w:pos="360"/>
        </w:tabs>
        <w:spacing w:before="228" w:after="0" w:line="279" w:lineRule="exact"/>
        <w:ind w:right="0" w:left="72" w:firstLine="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Although the statute defines the defense as a defense to intentional murder, the Appellate Division has held that the defense applies to a charge of attempted murder (</w:t>
      </w:r>
      <w:r>
        <w:rPr>
          <w:rFonts w:ascii="Arial" w:hAnsi="Arial" w:eastAsia="Arial"/>
          <w:i w:val="true"/>
          <w:color w:val="000000"/>
          <w:spacing w:val="0"/>
          <w:w w:val="100"/>
          <w:sz w:val="24"/>
          <w:vertAlign w:val="baseline"/>
          <w:lang w:val="en-US"/>
        </w:rPr>
        <w:t xml:space="preserve">see People v White</w:t>
      </w:r>
      <w:r>
        <w:rPr>
          <w:rFonts w:ascii="Arial" w:hAnsi="Arial" w:eastAsia="Arial"/>
          <w:color w:val="000000"/>
          <w:spacing w:val="0"/>
          <w:w w:val="100"/>
          <w:sz w:val="24"/>
          <w:vertAlign w:val="baseline"/>
          <w:lang w:val="en-US"/>
        </w:rPr>
        <w:t xml:space="preserve">, 125 AD2d 932, 933 [4th Dept 1986]; </w:t>
      </w:r>
      <w:r>
        <w:rPr>
          <w:rFonts w:ascii="Arial" w:hAnsi="Arial" w:eastAsia="Arial"/>
          <w:i w:val="true"/>
          <w:color w:val="000000"/>
          <w:spacing w:val="0"/>
          <w:w w:val="100"/>
          <w:sz w:val="24"/>
          <w:vertAlign w:val="baseline"/>
          <w:lang w:val="en-US"/>
        </w:rPr>
        <w:t xml:space="preserve">People v Tabarez</w:t>
      </w:r>
      <w:r>
        <w:rPr>
          <w:rFonts w:ascii="Arial" w:hAnsi="Arial" w:eastAsia="Arial"/>
          <w:color w:val="000000"/>
          <w:spacing w:val="0"/>
          <w:w w:val="100"/>
          <w:sz w:val="24"/>
          <w:vertAlign w:val="baseline"/>
          <w:lang w:val="en-US"/>
        </w:rPr>
        <w:t xml:space="preserve">, 113 AD2d 461, 463 [2d Dept 1985] </w:t>
      </w:r>
      <w:r>
        <w:rPr>
          <w:rFonts w:ascii="Arial" w:hAnsi="Arial" w:eastAsia="Arial"/>
          <w:i w:val="true"/>
          <w:color w:val="000000"/>
          <w:spacing w:val="0"/>
          <w:w w:val="100"/>
          <w:sz w:val="24"/>
          <w:vertAlign w:val="baseline"/>
          <w:lang w:val="en-US"/>
        </w:rPr>
        <w:t xml:space="preserve">aff'd on other grounds, </w:t>
      </w:r>
      <w:r>
        <w:rPr>
          <w:rFonts w:ascii="Arial" w:hAnsi="Arial" w:eastAsia="Arial"/>
          <w:color w:val="000000"/>
          <w:spacing w:val="0"/>
          <w:w w:val="100"/>
          <w:sz w:val="24"/>
          <w:vertAlign w:val="baseline"/>
          <w:lang w:val="en-US"/>
        </w:rPr>
        <w:t xml:space="preserve">69 NY2d 663 [1986]; </w:t>
      </w:r>
      <w:r>
        <w:rPr>
          <w:rFonts w:ascii="Arial" w:hAnsi="Arial" w:eastAsia="Arial"/>
          <w:i w:val="true"/>
          <w:color w:val="000000"/>
          <w:spacing w:val="0"/>
          <w:w w:val="100"/>
          <w:sz w:val="24"/>
          <w:vertAlign w:val="baseline"/>
          <w:lang w:val="en-US"/>
        </w:rPr>
        <w:t xml:space="preserve">People v Lanzot</w:t>
      </w:r>
      <w:r>
        <w:rPr>
          <w:rFonts w:ascii="Arial" w:hAnsi="Arial" w:eastAsia="Arial"/>
          <w:color w:val="000000"/>
          <w:spacing w:val="0"/>
          <w:w w:val="100"/>
          <w:sz w:val="24"/>
          <w:vertAlign w:val="baseline"/>
          <w:lang w:val="en-US"/>
        </w:rPr>
        <w:t xml:space="preserve">, 67 AD2d 864, 866 [1st Dept 1979], </w:t>
      </w:r>
      <w:r>
        <w:rPr>
          <w:rFonts w:ascii="Arial" w:hAnsi="Arial" w:eastAsia="Arial"/>
          <w:i w:val="true"/>
          <w:color w:val="000000"/>
          <w:spacing w:val="0"/>
          <w:w w:val="100"/>
          <w:sz w:val="24"/>
          <w:vertAlign w:val="baseline"/>
          <w:lang w:val="en-US"/>
        </w:rPr>
        <w:t xml:space="preserve">app dism </w:t>
      </w:r>
      <w:r>
        <w:rPr>
          <w:rFonts w:ascii="Arial" w:hAnsi="Arial" w:eastAsia="Arial"/>
          <w:color w:val="000000"/>
          <w:spacing w:val="0"/>
          <w:w w:val="100"/>
          <w:sz w:val="24"/>
          <w:vertAlign w:val="baseline"/>
          <w:lang w:val="en-US"/>
        </w:rPr>
        <w:t xml:space="preserve">49 NY2d 796 [1980]). The Court of Appeals has held that the defense is not applicable to depraved indifference murder (</w:t>
      </w:r>
      <w:r>
        <w:rPr>
          <w:rFonts w:ascii="Arial" w:hAnsi="Arial" w:eastAsia="Arial"/>
          <w:i w:val="true"/>
          <w:color w:val="000000"/>
          <w:spacing w:val="0"/>
          <w:w w:val="100"/>
          <w:sz w:val="24"/>
          <w:vertAlign w:val="baseline"/>
          <w:lang w:val="en-US"/>
        </w:rPr>
        <w:t xml:space="preserve">see People v Fardan</w:t>
      </w:r>
      <w:r>
        <w:rPr>
          <w:rFonts w:ascii="Arial" w:hAnsi="Arial" w:eastAsia="Arial"/>
          <w:color w:val="000000"/>
          <w:spacing w:val="0"/>
          <w:w w:val="100"/>
          <w:sz w:val="24"/>
          <w:vertAlign w:val="baseline"/>
          <w:lang w:val="en-US"/>
        </w:rPr>
        <w:t xml:space="preserve">, 82 NY2d 638 [1993]).</w:t>
      </w:r>
    </w:p>
    <w:p>
      <w:pPr>
        <w:pageBreakBefore w:val="false"/>
        <w:numPr>
          <w:ilvl w:val="0"/>
          <w:numId w:val="1"/>
        </w:numPr>
        <w:tabs>
          <w:tab w:val="clear" w:pos="216"/>
          <w:tab w:val="left" w:pos="288"/>
        </w:tabs>
        <w:spacing w:before="231" w:after="0" w:line="279" w:lineRule="exact"/>
        <w:ind w:right="0" w:left="72" w:firstLine="0"/>
        <w:jc w:val="both"/>
        <w:textAlignment w:val="baseline"/>
        <w:rPr>
          <w:rFonts w:ascii="Arial" w:hAnsi="Arial" w:eastAsia="Arial"/>
          <w:i w:val="true"/>
          <w:color w:val="000000"/>
          <w:spacing w:val="0"/>
          <w:w w:val="100"/>
          <w:sz w:val="24"/>
          <w:vertAlign w:val="baseline"/>
          <w:lang w:val="en-US"/>
        </w:rPr>
      </w:pP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125.25 (1) (a) and Penal Law § 125.27 (2). </w:t>
      </w:r>
      <w:r>
        <w:rPr>
          <w:rFonts w:ascii="Arial" w:hAnsi="Arial" w:eastAsia="Arial"/>
          <w:i w:val="true"/>
          <w:color w:val="000000"/>
          <w:spacing w:val="0"/>
          <w:w w:val="100"/>
          <w:sz w:val="24"/>
          <w:vertAlign w:val="baseline"/>
          <w:lang w:val="en-US"/>
        </w:rPr>
        <w:t xml:space="preserve">See also People v Patterson, </w:t>
      </w:r>
      <w:r>
        <w:rPr>
          <w:rFonts w:ascii="Arial" w:hAnsi="Arial" w:eastAsia="Arial"/>
          <w:color w:val="000000"/>
          <w:spacing w:val="0"/>
          <w:w w:val="100"/>
          <w:sz w:val="24"/>
          <w:vertAlign w:val="baseline"/>
          <w:lang w:val="en-US"/>
        </w:rPr>
        <w:t xml:space="preserve">39 NY2d 288 [1976] </w:t>
      </w:r>
      <w:r>
        <w:rPr>
          <w:rFonts w:ascii="Arial" w:hAnsi="Arial" w:eastAsia="Arial"/>
          <w:i w:val="true"/>
          <w:color w:val="000000"/>
          <w:spacing w:val="0"/>
          <w:w w:val="100"/>
          <w:sz w:val="24"/>
          <w:vertAlign w:val="baseline"/>
          <w:lang w:val="en-US"/>
        </w:rPr>
        <w:t xml:space="preserve">aff’d </w:t>
      </w:r>
      <w:r>
        <w:rPr>
          <w:rFonts w:ascii="Arial" w:hAnsi="Arial" w:eastAsia="Arial"/>
          <w:color w:val="000000"/>
          <w:spacing w:val="0"/>
          <w:w w:val="100"/>
          <w:sz w:val="24"/>
          <w:vertAlign w:val="baseline"/>
          <w:lang w:val="en-US"/>
        </w:rPr>
        <w:t xml:space="preserve">432 US 197 (1977) (the affirmative defense is constitutional). </w:t>
      </w:r>
      <w:r>
        <w:rPr>
          <w:rFonts w:ascii="Arial" w:hAnsi="Arial" w:eastAsia="Arial"/>
          <w:i w:val="true"/>
          <w:color w:val="000000"/>
          <w:spacing w:val="0"/>
          <w:w w:val="100"/>
          <w:sz w:val="24"/>
          <w:vertAlign w:val="baseline"/>
          <w:lang w:val="en-US"/>
        </w:rPr>
        <w:t xml:space="preserve">See generally People v White</w:t>
      </w:r>
      <w:r>
        <w:rPr>
          <w:rFonts w:ascii="Arial" w:hAnsi="Arial" w:eastAsia="Arial"/>
          <w:color w:val="000000"/>
          <w:spacing w:val="0"/>
          <w:w w:val="100"/>
          <w:sz w:val="24"/>
          <w:vertAlign w:val="baseline"/>
          <w:lang w:val="en-US"/>
        </w:rPr>
        <w:t xml:space="preserve">, 79 NY2d 900 [1992] and </w:t>
      </w:r>
      <w:r>
        <w:rPr>
          <w:rFonts w:ascii="Arial" w:hAnsi="Arial" w:eastAsia="Arial"/>
          <w:i w:val="true"/>
          <w:color w:val="000000"/>
          <w:spacing w:val="0"/>
          <w:w w:val="100"/>
          <w:sz w:val="24"/>
          <w:vertAlign w:val="baseline"/>
          <w:lang w:val="en-US"/>
        </w:rPr>
        <w:t xml:space="preserve">People v Casassa</w:t>
      </w:r>
      <w:r>
        <w:rPr>
          <w:rFonts w:ascii="Arial" w:hAnsi="Arial" w:eastAsia="Arial"/>
          <w:color w:val="000000"/>
          <w:spacing w:val="0"/>
          <w:w w:val="100"/>
          <w:sz w:val="24"/>
          <w:vertAlign w:val="baseline"/>
          <w:lang w:val="en-US"/>
        </w:rPr>
        <w:t xml:space="preserve">, 49 NY2d 668 [1980] (finding in both cases that the defendant failed to establish the affirmative defense); </w:t>
      </w:r>
      <w:r>
        <w:rPr>
          <w:rFonts w:ascii="Arial" w:hAnsi="Arial" w:eastAsia="Arial"/>
          <w:i w:val="true"/>
          <w:color w:val="000000"/>
          <w:spacing w:val="0"/>
          <w:w w:val="100"/>
          <w:sz w:val="24"/>
          <w:vertAlign w:val="baseline"/>
          <w:lang w:val="en-US"/>
        </w:rPr>
        <w:t xml:space="preserve">People v Roche</w:t>
      </w:r>
      <w:r>
        <w:rPr>
          <w:rFonts w:ascii="Arial" w:hAnsi="Arial" w:eastAsia="Arial"/>
          <w:color w:val="000000"/>
          <w:spacing w:val="0"/>
          <w:w w:val="100"/>
          <w:sz w:val="24"/>
          <w:vertAlign w:val="baseline"/>
          <w:lang w:val="en-US"/>
        </w:rPr>
        <w:t xml:space="preserve">, 98 NY2d 70 [2002] and </w:t>
      </w:r>
      <w:r>
        <w:rPr>
          <w:rFonts w:ascii="Arial" w:hAnsi="Arial" w:eastAsia="Arial"/>
          <w:i w:val="true"/>
          <w:color w:val="000000"/>
          <w:spacing w:val="0"/>
          <w:w w:val="100"/>
          <w:sz w:val="24"/>
          <w:vertAlign w:val="baseline"/>
          <w:lang w:val="en-US"/>
        </w:rPr>
        <w:t xml:space="preserve">People v Walker</w:t>
      </w:r>
      <w:r>
        <w:rPr>
          <w:rFonts w:ascii="Arial" w:hAnsi="Arial" w:eastAsia="Arial"/>
          <w:color w:val="000000"/>
          <w:spacing w:val="0"/>
          <w:w w:val="100"/>
          <w:sz w:val="24"/>
          <w:vertAlign w:val="baseline"/>
          <w:lang w:val="en-US"/>
        </w:rPr>
        <w:t xml:space="preserve">, 64 NY2d 741 (1984) (finding in both cases that the trial court properly declined to charge the affirmative defense); </w:t>
      </w:r>
      <w:r>
        <w:rPr>
          <w:rFonts w:ascii="Arial" w:hAnsi="Arial" w:eastAsia="Arial"/>
          <w:i w:val="true"/>
          <w:color w:val="000000"/>
          <w:spacing w:val="0"/>
          <w:w w:val="100"/>
          <w:sz w:val="24"/>
          <w:vertAlign w:val="baseline"/>
          <w:lang w:val="en-US"/>
        </w:rPr>
        <w:t xml:space="preserve">People v Harris</w:t>
      </w:r>
      <w:r>
        <w:rPr>
          <w:rFonts w:ascii="Arial" w:hAnsi="Arial" w:eastAsia="Arial"/>
          <w:color w:val="000000"/>
          <w:spacing w:val="0"/>
          <w:w w:val="100"/>
          <w:sz w:val="24"/>
          <w:vertAlign w:val="baseline"/>
          <w:lang w:val="en-US"/>
        </w:rPr>
        <w:t xml:space="preserve">, 95 NY2d 316 [2000], </w:t>
      </w:r>
      <w:r>
        <w:rPr>
          <w:rFonts w:ascii="Arial" w:hAnsi="Arial" w:eastAsia="Arial"/>
          <w:i w:val="true"/>
          <w:color w:val="000000"/>
          <w:spacing w:val="0"/>
          <w:w w:val="100"/>
          <w:sz w:val="24"/>
          <w:vertAlign w:val="baseline"/>
          <w:lang w:val="en-US"/>
        </w:rPr>
        <w:t xml:space="preserve">People v Tabarez</w:t>
      </w:r>
      <w:r>
        <w:rPr>
          <w:rFonts w:ascii="Arial" w:hAnsi="Arial" w:eastAsia="Arial"/>
          <w:color w:val="000000"/>
          <w:spacing w:val="0"/>
          <w:w w:val="100"/>
          <w:sz w:val="24"/>
          <w:vertAlign w:val="baseline"/>
          <w:lang w:val="en-US"/>
        </w:rPr>
        <w:t xml:space="preserve">, 69 NY2d 663 [1986] and </w:t>
      </w:r>
      <w:r>
        <w:rPr>
          <w:rFonts w:ascii="Arial" w:hAnsi="Arial" w:eastAsia="Arial"/>
          <w:i w:val="true"/>
          <w:color w:val="000000"/>
          <w:spacing w:val="0"/>
          <w:w w:val="100"/>
          <w:sz w:val="24"/>
          <w:vertAlign w:val="baseline"/>
          <w:lang w:val="en-US"/>
        </w:rPr>
        <w:t xml:space="preserve">People v Moye</w:t>
      </w:r>
      <w:r>
        <w:rPr>
          <w:rFonts w:ascii="Arial" w:hAnsi="Arial" w:eastAsia="Arial"/>
          <w:color w:val="000000"/>
          <w:spacing w:val="0"/>
          <w:w w:val="100"/>
          <w:sz w:val="24"/>
          <w:vertAlign w:val="baseline"/>
          <w:lang w:val="en-US"/>
        </w:rPr>
        <w:t xml:space="preserve">, 66 NY2d 887 [1985] (finding in each case that the defendant was entitled to have the affirmative defense charged).</w:t>
      </w:r>
    </w:p>
    <w:p>
      <w:pPr>
        <w:pageBreakBefore w:val="false"/>
        <w:numPr>
          <w:ilvl w:val="0"/>
          <w:numId w:val="1"/>
        </w:numPr>
        <w:tabs>
          <w:tab w:val="clear" w:pos="216"/>
          <w:tab w:val="left" w:pos="288"/>
        </w:tabs>
        <w:spacing w:before="234" w:after="0" w:line="279" w:lineRule="exact"/>
        <w:ind w:right="0" w:left="72" w:firstLine="0"/>
        <w:jc w:val="both"/>
        <w:textAlignment w:val="baseline"/>
        <w:rPr>
          <w:rFonts w:ascii="Arial" w:hAnsi="Arial" w:eastAsia="Arial"/>
          <w:i w:val="true"/>
          <w:color w:val="000000"/>
          <w:spacing w:val="0"/>
          <w:w w:val="100"/>
          <w:sz w:val="24"/>
          <w:vertAlign w:val="baseline"/>
          <w:lang w:val="en-US"/>
        </w:rPr>
      </w:pPr>
      <w:r>
        <w:rPr>
          <w:rFonts w:ascii="Arial" w:hAnsi="Arial" w:eastAsia="Arial"/>
          <w:i w:val="true"/>
          <w:color w:val="000000"/>
          <w:spacing w:val="0"/>
          <w:w w:val="100"/>
          <w:sz w:val="24"/>
          <w:vertAlign w:val="baseline"/>
          <w:lang w:val="en-US"/>
        </w:rPr>
        <w:t xml:space="preserve">See People v Roche</w:t>
      </w:r>
      <w:r>
        <w:rPr>
          <w:rFonts w:ascii="Arial" w:hAnsi="Arial" w:eastAsia="Arial"/>
          <w:color w:val="000000"/>
          <w:spacing w:val="0"/>
          <w:w w:val="100"/>
          <w:sz w:val="24"/>
          <w:vertAlign w:val="baseline"/>
          <w:lang w:val="en-US"/>
        </w:rPr>
        <w:t xml:space="preserve">, 98 NY2d at 75-76; </w:t>
      </w:r>
      <w:r>
        <w:rPr>
          <w:rFonts w:ascii="Arial" w:hAnsi="Arial" w:eastAsia="Arial"/>
          <w:i w:val="true"/>
          <w:color w:val="000000"/>
          <w:spacing w:val="0"/>
          <w:w w:val="100"/>
          <w:sz w:val="24"/>
          <w:vertAlign w:val="baseline"/>
          <w:lang w:val="en-US"/>
        </w:rPr>
        <w:t xml:space="preserve">People v Harris</w:t>
      </w:r>
      <w:r>
        <w:rPr>
          <w:rFonts w:ascii="Arial" w:hAnsi="Arial" w:eastAsia="Arial"/>
          <w:color w:val="000000"/>
          <w:spacing w:val="0"/>
          <w:w w:val="100"/>
          <w:sz w:val="24"/>
          <w:vertAlign w:val="baseline"/>
          <w:lang w:val="en-US"/>
        </w:rPr>
        <w:t xml:space="preserve">, 95 NY2d at 319; </w:t>
      </w:r>
      <w:r>
        <w:rPr>
          <w:rFonts w:ascii="Arial" w:hAnsi="Arial" w:eastAsia="Arial"/>
          <w:i w:val="true"/>
          <w:color w:val="000000"/>
          <w:spacing w:val="0"/>
          <w:w w:val="100"/>
          <w:sz w:val="24"/>
          <w:vertAlign w:val="baseline"/>
          <w:lang w:val="en-US"/>
        </w:rPr>
        <w:t xml:space="preserve">People v Casassa</w:t>
      </w:r>
      <w:r>
        <w:rPr>
          <w:rFonts w:ascii="Arial" w:hAnsi="Arial" w:eastAsia="Arial"/>
          <w:color w:val="000000"/>
          <w:spacing w:val="0"/>
          <w:w w:val="100"/>
          <w:sz w:val="24"/>
          <w:vertAlign w:val="baseline"/>
          <w:lang w:val="en-US"/>
        </w:rPr>
        <w:t xml:space="preserve">, 49 NY2d 668 [1980]; and other cases cited in endnote three.</w:t>
      </w:r>
    </w:p>
    <w:p>
      <w:pPr>
        <w:pageBreakBefore w:val="false"/>
        <w:numPr>
          <w:ilvl w:val="0"/>
          <w:numId w:val="1"/>
        </w:numPr>
        <w:tabs>
          <w:tab w:val="clear" w:pos="216"/>
          <w:tab w:val="left" w:pos="288"/>
        </w:tabs>
        <w:spacing w:before="238" w:after="397" w:line="279" w:lineRule="exact"/>
        <w:ind w:right="0" w:left="72" w:firstLine="0"/>
        <w:jc w:val="both"/>
        <w:textAlignment w:val="baseline"/>
        <w:rPr>
          <w:rFonts w:ascii="Arial" w:hAnsi="Arial" w:eastAsia="Arial"/>
          <w:i w:val="true"/>
          <w:color w:val="000000"/>
          <w:spacing w:val="-1"/>
          <w:w w:val="100"/>
          <w:sz w:val="24"/>
          <w:vertAlign w:val="baseline"/>
          <w:lang w:val="en-US"/>
        </w:rPr>
      </w:pPr>
      <w:r>
        <w:rPr>
          <w:rFonts w:ascii="Arial" w:hAnsi="Arial" w:eastAsia="Arial"/>
          <w:i w:val="true"/>
          <w:color w:val="000000"/>
          <w:spacing w:val="-1"/>
          <w:w w:val="100"/>
          <w:sz w:val="24"/>
          <w:vertAlign w:val="baseline"/>
          <w:lang w:val="en-US"/>
        </w:rPr>
        <w:t xml:space="preserve">See People v McKenzie</w:t>
      </w:r>
      <w:r>
        <w:rPr>
          <w:rFonts w:ascii="Arial" w:hAnsi="Arial" w:eastAsia="Arial"/>
          <w:color w:val="000000"/>
          <w:spacing w:val="-1"/>
          <w:w w:val="100"/>
          <w:sz w:val="24"/>
          <w:vertAlign w:val="baseline"/>
          <w:lang w:val="en-US"/>
        </w:rPr>
        <w:t xml:space="preserve">, 19 NY3d 463, 467 [2012] (holding that the term “‘mental infirmity’ . . . refers more broadly to any reasonably explicable</w:t>
      </w:r>
    </w:p>
    <w:p>
      <w:pPr>
        <w:spacing w:before="238" w:after="397" w:line="279" w:lineRule="exact"/>
        <w:sectPr>
          <w:type w:val="nextPage"/>
          <w:pgSz w:w="12240" w:h="15840" w:orient="portrait"/>
          <w:pgMar w:bottom="140" w:top="1080" w:right="2131" w:left="2151" w:header="720" w:footer="720"/>
          <w:titlePg w:val="false"/>
          <w:textDirection w:val="lrTb"/>
        </w:sectPr>
      </w:pPr>
    </w:p>
    <w:p>
      <w:pPr>
        <w:pageBreakBefore w:val="false"/>
        <w:spacing w:before="1"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3</w:t>
      </w:r>
    </w:p>
    <w:p>
      <w:pPr>
        <w:sectPr>
          <w:type w:val="continuous"/>
          <w:pgSz w:w="12240" w:h="15840" w:orient="portrait"/>
          <w:pgMar w:bottom="140" w:top="1080" w:right="2150" w:left="2150" w:header="720" w:footer="720"/>
          <w:titlePg w:val="false"/>
          <w:textDirection w:val="lrTb"/>
        </w:sectPr>
      </w:pPr>
    </w:p>
    <w:p>
      <w:pPr>
        <w:pageBreakBefore w:val="false"/>
        <w:spacing w:before="17" w:after="0" w:line="275" w:lineRule="exact"/>
        <w:ind w:right="0" w:left="0" w:firstLine="0"/>
        <w:jc w:val="both"/>
        <w:textAlignment w:val="baseline"/>
        <w:rPr>
          <w:rFonts w:ascii="Arial" w:hAnsi="Arial" w:eastAsia="Arial"/>
          <w:color w:val="000000"/>
          <w:spacing w:val="-4"/>
          <w:w w:val="100"/>
          <w:sz w:val="24"/>
          <w:vertAlign w:val="baseline"/>
          <w:lang w:val="en-US"/>
        </w:rPr>
      </w:pPr>
      <w:r>
        <w:rPr>
          <w:rFonts w:ascii="Arial" w:hAnsi="Arial" w:eastAsia="Arial"/>
          <w:color w:val="000000"/>
          <w:spacing w:val="-4"/>
          <w:w w:val="100"/>
          <w:sz w:val="24"/>
          <w:vertAlign w:val="baseline"/>
          <w:lang w:val="en-US"/>
        </w:rPr>
        <w:t xml:space="preserve">emotional disturbance so extreme as to result in and become manifest as a profound loss of self-control . . . [,] [and] that the subjective element of the extreme emotional disturbance defense may be inferred simply from circumstances indicative of a loss of control and, concomitantly, that it may be established without psychiatric evidence”); </w:t>
      </w:r>
      <w:r>
        <w:rPr>
          <w:rFonts w:ascii="Arial" w:hAnsi="Arial" w:eastAsia="Arial"/>
          <w:i w:val="true"/>
          <w:color w:val="000000"/>
          <w:spacing w:val="-4"/>
          <w:w w:val="100"/>
          <w:sz w:val="24"/>
          <w:vertAlign w:val="baseline"/>
          <w:lang w:val="en-US"/>
        </w:rPr>
        <w:t xml:space="preserve">see also People v Israel</w:t>
      </w:r>
      <w:r>
        <w:rPr>
          <w:rFonts w:ascii="Arial" w:hAnsi="Arial" w:eastAsia="Arial"/>
          <w:color w:val="000000"/>
          <w:spacing w:val="-4"/>
          <w:w w:val="100"/>
          <w:sz w:val="24"/>
          <w:vertAlign w:val="baseline"/>
          <w:lang w:val="en-US"/>
        </w:rPr>
        <w:t xml:space="preserve">, 26 NY3d 236, 239 n [2015] (“Extreme emotional disturbance is ‘a mental infirmity not rising to the level of insanity at the time of the homicide, typically manifested by a loss of self-control;’ to succeed on that defense, a defendant must prove that he or she, subjectively, was acting under the influence of such a disturbance and that, objectively, there was a reasonable explanation or excuse for that disturbance” [quoting </w:t>
      </w:r>
      <w:r>
        <w:rPr>
          <w:rFonts w:ascii="Arial" w:hAnsi="Arial" w:eastAsia="Arial"/>
          <w:i w:val="true"/>
          <w:color w:val="000000"/>
          <w:spacing w:val="-4"/>
          <w:w w:val="100"/>
          <w:sz w:val="24"/>
          <w:vertAlign w:val="baseline"/>
          <w:lang w:val="en-US"/>
        </w:rPr>
        <w:t xml:space="preserve">People v Roche</w:t>
      </w:r>
      <w:r>
        <w:rPr>
          <w:rFonts w:ascii="Arial" w:hAnsi="Arial" w:eastAsia="Arial"/>
          <w:color w:val="000000"/>
          <w:spacing w:val="-4"/>
          <w:w w:val="100"/>
          <w:sz w:val="24"/>
          <w:vertAlign w:val="baseline"/>
          <w:lang w:val="en-US"/>
        </w:rPr>
        <w:t xml:space="preserve">, 98 NY2d at 75]).</w:t>
      </w:r>
    </w:p>
    <w:p>
      <w:pPr>
        <w:pageBreakBefore w:val="false"/>
        <w:spacing w:before="242" w:after="10610" w:line="275" w:lineRule="exact"/>
        <w:ind w:right="0" w:left="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6. Penal Law §§ 125.25(1)(a)(ii); 125.26(3)(a)(ii); 125.27(2)(a)(ii).</w:t>
      </w:r>
    </w:p>
    <w:p>
      <w:pPr>
        <w:spacing w:before="242" w:after="10610" w:line="275" w:lineRule="exact"/>
        <w:sectPr>
          <w:type w:val="nextPage"/>
          <w:pgSz w:w="12240" w:h="15840" w:orient="portrait"/>
          <w:pgMar w:bottom="140" w:top="1080" w:right="2142" w:left="2158" w:header="720" w:footer="720"/>
          <w:titlePg w:val="false"/>
          <w:textDirection w:val="lrTb"/>
        </w:sectPr>
      </w:pPr>
    </w:p>
    <w:p>
      <w:pPr>
        <w:pageBreakBefore w:val="false"/>
        <w:spacing w:before="1"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4</w:t>
      </w:r>
    </w:p>
    <w:sectPr>
      <w:type w:val="continuous"/>
      <w:pgSz w:w="12240" w:h="15840" w:orient="portrait"/>
      <w:pgMar w:bottom="140" w:top="1080" w:right="2152" w:left="214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216"/>
        </w:tabs>
      </w:pPr>
      <w:rPr>
        <w:rFonts w:ascii="Arial" w:hAnsi="Arial" w:eastAsia="Arial"/>
        <w:color w:val="000000"/>
        <w:spacing w:val="0"/>
        <w:w w:val="100"/>
        <w:sz w:val="24"/>
        <w:vertAlign w:val="baseline"/>
        <w:lang w:val="en-US"/>
      </w:rPr>
    </w:lvl>
  </w:abstractNum>
  <w:abstractNum w:abstractNumId="2">
    <w:lvl w:ilvl="0">
      <w:start w:val="0"/>
      <w:numFmt w:val="decimal"/>
      <w:lvlText w:val="%1."/>
      <w:pPr>
        <w:tabs>
          <w:tab w:val="left" w:pos="288"/>
        </w:tabs>
      </w:pPr>
      <w:rPr>
        <w:rFonts w:ascii="Arial" w:hAnsi="Arial" w:eastAsia="Arial"/>
        <w:color w:val="000000"/>
        <w:spacing w:val="0"/>
        <w:w w:val="100"/>
        <w:sz w:val="24"/>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