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7" w:after="0" w:line="327" w:lineRule="exact"/>
        <w:ind w:right="0" w:left="0" w:firstLine="0"/>
        <w:jc w:val="center"/>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ADDITIONAL CHARGE</w:t>
        <w:br/>
      </w:r>
      <w:r>
        <w:rPr>
          <w:rFonts w:ascii="Arial" w:hAnsi="Arial" w:eastAsia="Arial"/>
          <w:b w:val="true"/>
          <w:color w:val="000000"/>
          <w:spacing w:val="0"/>
          <w:w w:val="100"/>
          <w:sz w:val="25"/>
          <w:vertAlign w:val="baseline"/>
          <w:lang w:val="en-US"/>
        </w:rPr>
        <w:t xml:space="preserve">WHEN BOTH SECOND DEGREE MURDER AND</w:t>
        <w:br/>
      </w:r>
      <w:r>
        <w:rPr>
          <w:rFonts w:ascii="Arial" w:hAnsi="Arial" w:eastAsia="Arial"/>
          <w:b w:val="true"/>
          <w:color w:val="000000"/>
          <w:spacing w:val="0"/>
          <w:w w:val="100"/>
          <w:sz w:val="25"/>
          <w:vertAlign w:val="baseline"/>
          <w:lang w:val="en-US"/>
        </w:rPr>
        <w:t xml:space="preserve">FIRST DEGREE MURDER ARE CHARGED FOR A</w:t>
        <w:br/>
      </w:r>
      <w:r>
        <w:rPr>
          <w:rFonts w:ascii="Arial" w:hAnsi="Arial" w:eastAsia="Arial"/>
          <w:b w:val="true"/>
          <w:color w:val="000000"/>
          <w:spacing w:val="0"/>
          <w:w w:val="100"/>
          <w:sz w:val="25"/>
          <w:vertAlign w:val="baseline"/>
          <w:lang w:val="en-US"/>
        </w:rPr>
        <w:t xml:space="preserve">KILLING IN THE COURSE AND FURTHERANCE OF</w:t>
        <w:br/>
      </w:r>
      <w:r>
        <w:rPr>
          <w:rFonts w:ascii="Arial" w:hAnsi="Arial" w:eastAsia="Arial"/>
          <w:b w:val="true"/>
          <w:color w:val="000000"/>
          <w:spacing w:val="0"/>
          <w:w w:val="100"/>
          <w:sz w:val="25"/>
          <w:vertAlign w:val="baseline"/>
          <w:lang w:val="en-US"/>
        </w:rPr>
        <w:t xml:space="preserve">A DESIGNATED FELONY</w:t>
      </w:r>
    </w:p>
    <w:p>
      <w:pPr>
        <w:pageBreakBefore w:val="false"/>
        <w:spacing w:before="326" w:after="0" w:line="327" w:lineRule="exact"/>
        <w:ind w:right="0" w:left="0" w:firstLine="720"/>
        <w:jc w:val="both"/>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You will note that I have submitted for your consideration both Murder in the First Degree and Murder in the Second Degree regarding the death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5"/>
          <w:vertAlign w:val="baseline"/>
          <w:lang w:val="en-US"/>
        </w:rPr>
        <w:t xml:space="preserve">), and that both crimes involve a death caused in the course of and in furtherance of the commission or attempted commission of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i w:val="true"/>
          <w:color w:val="000000"/>
          <w:spacing w:val="0"/>
          <w:w w:val="100"/>
          <w:sz w:val="24"/>
          <w:vertAlign w:val="baseline"/>
          <w:lang w:val="en-US"/>
        </w:rPr>
        <w:t xml:space="preserve"> </w:t>
      </w:r>
      <w:r>
        <w:rPr>
          <w:rFonts w:ascii="Arial" w:hAnsi="Arial" w:eastAsia="Arial"/>
          <w:b w:val="true"/>
          <w:i w:val="true"/>
          <w:color w:val="000000"/>
          <w:spacing w:val="0"/>
          <w:w w:val="100"/>
          <w:sz w:val="24"/>
          <w:u w:val="single"/>
          <w:vertAlign w:val="baseline"/>
          <w:lang w:val="en-US"/>
        </w:rPr>
        <w:t xml:space="preserve">crime</w:t>
      </w:r>
      <w:r>
        <w:rPr>
          <w:rFonts w:ascii="Arial" w:hAnsi="Arial" w:eastAsia="Arial"/>
          <w:b w:val="true"/>
          <w:color w:val="000000"/>
          <w:spacing w:val="0"/>
          <w:w w:val="100"/>
          <w:sz w:val="25"/>
          <w:vertAlign w:val="baseline"/>
          <w:lang w:val="en-US"/>
        </w:rPr>
        <w:t xml:space="preserve">) [</w:t>
      </w:r>
      <w:r>
        <w:rPr>
          <w:rFonts w:ascii="Arial" w:hAnsi="Arial" w:eastAsia="Arial"/>
          <w:b w:val="true"/>
          <w:i w:val="true"/>
          <w:color w:val="000000"/>
          <w:spacing w:val="0"/>
          <w:w w:val="100"/>
          <w:sz w:val="24"/>
          <w:vertAlign w:val="baseline"/>
          <w:lang w:val="en-US"/>
        </w:rPr>
        <w:t xml:space="preserve">or </w:t>
      </w:r>
      <w:r>
        <w:rPr>
          <w:rFonts w:ascii="Arial" w:hAnsi="Arial" w:eastAsia="Arial"/>
          <w:b w:val="true"/>
          <w:color w:val="000000"/>
          <w:spacing w:val="0"/>
          <w:w w:val="100"/>
          <w:sz w:val="25"/>
          <w:vertAlign w:val="baseline"/>
          <w:lang w:val="en-US"/>
        </w:rPr>
        <w:t xml:space="preserve">of immediate flight therefrom]. These crimes share certain elements. There are, however, two significant differences between them.</w:t>
      </w:r>
    </w:p>
    <w:p>
      <w:pPr>
        <w:pageBreakBefore w:val="false"/>
        <w:spacing w:before="321" w:after="0" w:line="327" w:lineRule="exact"/>
        <w:ind w:right="0" w:left="0" w:firstLine="720"/>
        <w:jc w:val="both"/>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For Murder in the Second Degree, the People must prove beyond a reasonable doubt that the defendant caused the death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5"/>
          <w:vertAlign w:val="baseline"/>
          <w:lang w:val="en-US"/>
        </w:rPr>
        <w:t xml:space="preserve">) in the course of and in furtherance of the commission or attempted commission of the crime of (</w:t>
      </w:r>
      <w:r>
        <w:rPr>
          <w:rFonts w:ascii="Arial" w:hAnsi="Arial" w:eastAsia="Arial"/>
          <w:b w:val="true"/>
          <w:i w:val="true"/>
          <w:color w:val="000000"/>
          <w:spacing w:val="0"/>
          <w:w w:val="100"/>
          <w:sz w:val="24"/>
          <w:u w:val="single"/>
          <w:vertAlign w:val="baseline"/>
          <w:lang w:val="en-US"/>
        </w:rPr>
        <w:t xml:space="preserve">specify crime</w:t>
      </w:r>
      <w:r>
        <w:rPr>
          <w:rFonts w:ascii="Arial" w:hAnsi="Arial" w:eastAsia="Arial"/>
          <w:b w:val="true"/>
          <w:color w:val="000000"/>
          <w:spacing w:val="0"/>
          <w:w w:val="100"/>
          <w:sz w:val="25"/>
          <w:vertAlign w:val="baseline"/>
          <w:lang w:val="en-US"/>
        </w:rPr>
        <w:t xml:space="preserve">) [or of immediate flight therefrom] and that (</w:t>
      </w:r>
      <w:r>
        <w:rPr>
          <w:rFonts w:ascii="Arial" w:hAnsi="Arial" w:eastAsia="Arial"/>
          <w:b w:val="true"/>
          <w:i w:val="true"/>
          <w:color w:val="000000"/>
          <w:spacing w:val="0"/>
          <w:w w:val="100"/>
          <w:sz w:val="24"/>
          <w:u w:val="single"/>
          <w:vertAlign w:val="baseline"/>
          <w:lang w:val="en-US"/>
        </w:rPr>
        <w:t xml:space="preserve">victim</w:t>
      </w:r>
      <w:r>
        <w:rPr>
          <w:rFonts w:ascii="Arial" w:hAnsi="Arial" w:eastAsia="Arial"/>
          <w:b w:val="true"/>
          <w:color w:val="000000"/>
          <w:spacing w:val="0"/>
          <w:w w:val="100"/>
          <w:sz w:val="25"/>
          <w:vertAlign w:val="baseline"/>
          <w:lang w:val="en-US"/>
        </w:rPr>
        <w:t xml:space="preserve">) was a non-participant in the crime. However, for Murder in the Second Degree, the People need not prove that the death was caused intentionally. Nor need they prove that the defendant was the actual killer [or commanded the killer to cause the victim's death].</w:t>
      </w:r>
    </w:p>
    <w:p>
      <w:pPr>
        <w:pageBreakBefore w:val="false"/>
        <w:spacing w:before="322" w:after="0" w:line="327" w:lineRule="exact"/>
        <w:ind w:right="0" w:left="0" w:firstLine="720"/>
        <w:jc w:val="both"/>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As for Murder in the Second Degree, for Murder in the First Degree the People must prove beyond a reasonable doubt that the defendant caused the death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5"/>
          <w:vertAlign w:val="baseline"/>
          <w:lang w:val="en-US"/>
        </w:rPr>
        <w:t xml:space="preserve">) in the course of and in furtherance of the commission or attempted commission of the crime of (</w:t>
      </w:r>
      <w:r>
        <w:rPr>
          <w:rFonts w:ascii="Arial" w:hAnsi="Arial" w:eastAsia="Arial"/>
          <w:b w:val="true"/>
          <w:i w:val="true"/>
          <w:color w:val="000000"/>
          <w:spacing w:val="0"/>
          <w:w w:val="100"/>
          <w:sz w:val="24"/>
          <w:u w:val="single"/>
          <w:vertAlign w:val="baseline"/>
          <w:lang w:val="en-US"/>
        </w:rPr>
        <w:t xml:space="preserve">specify crime</w:t>
      </w:r>
      <w:r>
        <w:rPr>
          <w:rFonts w:ascii="Arial" w:hAnsi="Arial" w:eastAsia="Arial"/>
          <w:b w:val="true"/>
          <w:color w:val="000000"/>
          <w:spacing w:val="0"/>
          <w:w w:val="100"/>
          <w:sz w:val="25"/>
          <w:vertAlign w:val="baseline"/>
          <w:lang w:val="en-US"/>
        </w:rPr>
        <w:t xml:space="preserve">) [or of immediate flight therefrom] and that (</w:t>
      </w:r>
      <w:r>
        <w:rPr>
          <w:rFonts w:ascii="Arial" w:hAnsi="Arial" w:eastAsia="Arial"/>
          <w:b w:val="true"/>
          <w:i w:val="true"/>
          <w:color w:val="000000"/>
          <w:spacing w:val="0"/>
          <w:w w:val="100"/>
          <w:sz w:val="24"/>
          <w:u w:val="single"/>
          <w:vertAlign w:val="baseline"/>
          <w:lang w:val="en-US"/>
        </w:rPr>
        <w:t xml:space="preserve">victim</w:t>
      </w:r>
      <w:r>
        <w:rPr>
          <w:rFonts w:ascii="Arial" w:hAnsi="Arial" w:eastAsia="Arial"/>
          <w:b w:val="true"/>
          <w:color w:val="000000"/>
          <w:spacing w:val="0"/>
          <w:w w:val="100"/>
          <w:sz w:val="25"/>
          <w:vertAlign w:val="baseline"/>
          <w:lang w:val="en-US"/>
        </w:rPr>
        <w:t xml:space="preserve">) was a non-participant in the crime. However, for Murder in the First Degree, the People must prove beyond a reasonable doubt two additional elements:</w:t>
      </w:r>
    </w:p>
    <w:p>
      <w:pPr>
        <w:pageBreakBefore w:val="false"/>
        <w:numPr>
          <w:ilvl w:val="0"/>
          <w:numId w:val="1"/>
        </w:numPr>
        <w:tabs>
          <w:tab w:val="clear" w:pos="432"/>
          <w:tab w:val="left" w:pos="1152"/>
        </w:tabs>
        <w:spacing w:before="324" w:after="0" w:line="327" w:lineRule="exact"/>
        <w:ind w:right="0" w:left="720" w:firstLine="0"/>
        <w:jc w:val="both"/>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that the defendant caused the death of the victim by personally causing the victim's death [</w:t>
      </w:r>
      <w:r>
        <w:rPr>
          <w:rFonts w:ascii="Arial" w:hAnsi="Arial" w:eastAsia="Arial"/>
          <w:b w:val="true"/>
          <w:i w:val="true"/>
          <w:color w:val="000000"/>
          <w:spacing w:val="0"/>
          <w:w w:val="100"/>
          <w:sz w:val="24"/>
          <w:vertAlign w:val="baseline"/>
          <w:lang w:val="en-US"/>
        </w:rPr>
        <w:t xml:space="preserve">or </w:t>
      </w:r>
      <w:r>
        <w:rPr>
          <w:rFonts w:ascii="Arial" w:hAnsi="Arial" w:eastAsia="Arial"/>
          <w:b w:val="true"/>
          <w:color w:val="000000"/>
          <w:spacing w:val="0"/>
          <w:w w:val="100"/>
          <w:sz w:val="25"/>
          <w:vertAlign w:val="baseline"/>
          <w:lang w:val="en-US"/>
        </w:rPr>
        <w:t xml:space="preserve">by commanding another person to cause the death of the victim]; and</w:t>
      </w:r>
    </w:p>
    <w:p>
      <w:pPr>
        <w:pageBreakBefore w:val="false"/>
        <w:numPr>
          <w:ilvl w:val="0"/>
          <w:numId w:val="1"/>
        </w:numPr>
        <w:tabs>
          <w:tab w:val="clear" w:pos="432"/>
          <w:tab w:val="left" w:pos="1152"/>
        </w:tabs>
        <w:spacing w:before="359" w:after="0" w:line="294" w:lineRule="exact"/>
        <w:ind w:right="0" w:left="720" w:firstLine="0"/>
        <w:jc w:val="both"/>
        <w:textAlignment w:val="baseline"/>
        <w:rPr>
          <w:rFonts w:ascii="Arial" w:hAnsi="Arial" w:eastAsia="Arial"/>
          <w:b w:val="true"/>
          <w:color w:val="000000"/>
          <w:spacing w:val="-3"/>
          <w:w w:val="100"/>
          <w:sz w:val="25"/>
          <w:vertAlign w:val="baseline"/>
          <w:lang w:val="en-US"/>
        </w:rPr>
      </w:pPr>
      <w:r>
        <w:rPr>
          <w:rFonts w:ascii="Arial" w:hAnsi="Arial" w:eastAsia="Arial"/>
          <w:b w:val="true"/>
          <w:color w:val="000000"/>
          <w:spacing w:val="-3"/>
          <w:w w:val="100"/>
          <w:sz w:val="25"/>
          <w:vertAlign w:val="baseline"/>
          <w:lang w:val="en-US"/>
        </w:rPr>
        <w:t xml:space="preserve">that the defendant did so with the specific intent to cause</w:t>
      </w:r>
    </w:p>
    <w:p>
      <w:pPr>
        <w:sectPr>
          <w:type w:val="nextPage"/>
          <w:pgSz w:w="12240" w:h="15840" w:orient="portrait"/>
          <w:pgMar w:bottom="1244" w:top="1440" w:right="2140" w:left="2160" w:header="720" w:footer="720"/>
          <w:titlePg w:val="false"/>
          <w:textDirection w:val="lrTb"/>
        </w:sectPr>
      </w:pPr>
    </w:p>
    <w:p>
      <w:pPr>
        <w:pageBreakBefore w:val="false"/>
        <w:spacing w:before="44" w:after="11530" w:line="297" w:lineRule="exact"/>
        <w:ind w:right="0" w:left="0" w:firstLine="0"/>
        <w:jc w:val="left"/>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the victim's death.</w:t>
      </w:r>
      <w:r>
        <w:rPr>
          <w:rFonts w:ascii="Arial" w:hAnsi="Arial" w:eastAsia="Arial"/>
          <w:color w:val="000000"/>
          <w:spacing w:val="-2"/>
          <w:w w:val="100"/>
          <w:sz w:val="26"/>
          <w:vertAlign w:val="superscript"/>
          <w:lang w:val="en-US"/>
        </w:rPr>
        <w:t xml:space="preserve">1</w:t>
      </w:r>
      <w:r>
        <w:rPr>
          <w:rFonts w:ascii="Arial" w:hAnsi="Arial" w:eastAsia="Arial"/>
          <w:color w:val="000000"/>
          <w:spacing w:val="-2"/>
          <w:w w:val="100"/>
          <w:sz w:val="16"/>
          <w:vertAlign w:val="baseline"/>
          <w:lang w:val="en-US"/>
        </w:rPr>
        <w:t xml:space="preserve">
</w:t>
      </w:r>
    </w:p>
    <w:p>
      <w:pPr>
        <w:spacing w:before="44" w:after="11530" w:line="297" w:lineRule="exact"/>
        <w:sectPr>
          <w:type w:val="nextPage"/>
          <w:pgSz w:w="12240" w:h="15840" w:orient="portrait"/>
          <w:pgMar w:bottom="1024" w:top="1420" w:right="7080" w:left="2880" w:header="720" w:footer="720"/>
          <w:titlePg w:val="false"/>
          <w:textDirection w:val="lrTb"/>
        </w:sectPr>
      </w:pPr>
    </w:p>
    <w:p>
      <w:pPr>
        <w:pageBreakBefore w:val="false"/>
        <w:tabs>
          <w:tab w:val="right" w:leader="none" w:pos="5328"/>
        </w:tabs>
        <w:spacing w:before="270" w:after="0" w:line="281" w:lineRule="exact"/>
        <w:ind w:right="0" w:left="720" w:firstLine="0"/>
        <w:jc w:val="left"/>
        <w:textAlignment w:val="baseline"/>
        <w:rPr>
          <w:rFonts w:ascii="Arial" w:hAnsi="Arial" w:eastAsia="Arial"/>
          <w:color w:val="000000"/>
          <w:spacing w:val="0"/>
          <w:w w:val="100"/>
          <w:sz w:val="14"/>
          <w:vertAlign w:val="baseline"/>
          <w:lang w:val="en-US"/>
        </w:rPr>
      </w:pPr>
      <w:r>
        <w:pict>
          <v:line strokeweight="0.7pt" strokecolor="#000000" from="108pt,665.3pt" to="252.05pt,665.3pt" style="position:absolute;mso-position-horizontal-relative:page;mso-position-vertical-relative:page;">
            <v:stroke dashstyle="solid"/>
          </v:line>
        </w:pict>
      </w:r>
      <w:r>
        <w:rPr>
          <w:rFonts w:ascii="Arial" w:hAnsi="Arial" w:eastAsia="Arial"/>
          <w:color w:val="000000"/>
          <w:spacing w:val="0"/>
          <w:w w:val="100"/>
          <w:sz w:val="14"/>
          <w:vertAlign w:val="baseline"/>
          <w:lang w:val="en-US"/>
        </w:rPr>
        <w:t xml:space="preserve">1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§125.27(1)(a)(vii).</w:t>
      </w:r>
    </w:p>
    <w:p>
      <w:pPr>
        <w:pageBreakBefore w:val="false"/>
        <w:spacing w:before="278" w:after="0" w:line="276"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sectPr>
      <w:type w:val="continuous"/>
      <w:pgSz w:w="12240" w:h="15840" w:orient="portrait"/>
      <w:pgMar w:bottom="1024" w:top="1420" w:right="478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b w:val="true"/>
        <w:color w:val="000000"/>
        <w:spacing w:val="0"/>
        <w:w w:val="100"/>
        <w:sz w:val="25"/>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