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0A34" w14:textId="77777777" w:rsidR="00D673FD" w:rsidRDefault="002D1C67">
      <w:pPr>
        <w:spacing w:before="8" w:line="331" w:lineRule="exact"/>
        <w:jc w:val="center"/>
        <w:textAlignment w:val="baseline"/>
        <w:rPr>
          <w:rFonts w:ascii="Arial" w:eastAsia="Arial" w:hAnsi="Arial"/>
          <w:color w:val="000000"/>
          <w:sz w:val="29"/>
        </w:rPr>
      </w:pPr>
      <w:r w:rsidRPr="002D1C67">
        <w:rPr>
          <w:rFonts w:ascii="Arial" w:eastAsia="Arial" w:hAnsi="Arial"/>
          <w:b/>
          <w:color w:val="000000"/>
          <w:sz w:val="29"/>
        </w:rPr>
        <w:t xml:space="preserve">MURDER IN THE FIRST DEGREE </w:t>
      </w:r>
      <w:r w:rsidRPr="002D1C67">
        <w:rPr>
          <w:rFonts w:ascii="Arial" w:eastAsia="Arial" w:hAnsi="Arial"/>
          <w:b/>
          <w:color w:val="000000"/>
          <w:sz w:val="29"/>
        </w:rPr>
        <w:br/>
        <w:t xml:space="preserve">(Two Homicides During </w:t>
      </w:r>
      <w:r w:rsidRPr="002D1C67">
        <w:rPr>
          <w:rFonts w:ascii="Arial" w:eastAsia="Arial" w:hAnsi="Arial"/>
          <w:b/>
          <w:color w:val="000000"/>
          <w:sz w:val="29"/>
        </w:rPr>
        <w:br/>
        <w:t xml:space="preserve">Same Criminal Transaction) </w:t>
      </w:r>
      <w:r w:rsidRPr="002D1C67">
        <w:rPr>
          <w:rFonts w:ascii="Arial" w:eastAsia="Arial" w:hAnsi="Arial"/>
          <w:b/>
          <w:color w:val="000000"/>
          <w:sz w:val="29"/>
        </w:rPr>
        <w:br/>
        <w:t xml:space="preserve">Penal Law § 125.27(1)(a)(viii) </w:t>
      </w:r>
      <w:r w:rsidRPr="002D1C67">
        <w:rPr>
          <w:rFonts w:ascii="Arial" w:eastAsia="Arial" w:hAnsi="Arial"/>
          <w:b/>
          <w:color w:val="000000"/>
          <w:sz w:val="29"/>
        </w:rPr>
        <w:br/>
        <w:t>(Committed on or after Sept. 1, 1995)</w:t>
      </w:r>
      <w:r>
        <w:rPr>
          <w:rFonts w:ascii="Arial" w:eastAsia="Arial" w:hAnsi="Arial"/>
          <w:color w:val="000000"/>
          <w:sz w:val="29"/>
        </w:rPr>
        <w:t xml:space="preserve"> </w:t>
      </w:r>
      <w:r>
        <w:rPr>
          <w:rFonts w:ascii="Arial" w:eastAsia="Arial" w:hAnsi="Arial"/>
          <w:color w:val="000000"/>
          <w:sz w:val="29"/>
        </w:rPr>
        <w:br/>
      </w:r>
      <w:r w:rsidRPr="002D1C67">
        <w:rPr>
          <w:rFonts w:ascii="Arial" w:eastAsia="Arial" w:hAnsi="Arial"/>
          <w:color w:val="000000"/>
          <w:sz w:val="24"/>
          <w:szCs w:val="24"/>
        </w:rPr>
        <w:t>(Revised Oct. 25, 2001)</w:t>
      </w:r>
      <w:bookmarkStart w:id="0" w:name="_GoBack"/>
      <w:bookmarkEnd w:id="0"/>
    </w:p>
    <w:p w14:paraId="73DE0A35" w14:textId="77777777" w:rsidR="00D673FD" w:rsidRDefault="002D1C67">
      <w:pPr>
        <w:spacing w:before="325" w:line="325" w:lineRule="exact"/>
        <w:jc w:val="center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 xml:space="preserve">The </w:t>
      </w:r>
      <w:r>
        <w:rPr>
          <w:rFonts w:ascii="Arial" w:eastAsia="Arial" w:hAnsi="Arial"/>
          <w:color w:val="000000"/>
          <w:spacing w:val="-1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pacing w:val="-1"/>
          <w:sz w:val="28"/>
          <w:u w:val="single"/>
        </w:rPr>
        <w:t>specify</w:t>
      </w:r>
      <w:r>
        <w:rPr>
          <w:rFonts w:ascii="Arial" w:eastAsia="Arial" w:hAnsi="Arial"/>
          <w:color w:val="000000"/>
          <w:spacing w:val="-1"/>
          <w:sz w:val="28"/>
          <w:u w:val="single"/>
        </w:rPr>
        <w:t xml:space="preserve">) </w:t>
      </w:r>
      <w:r>
        <w:rPr>
          <w:rFonts w:ascii="Arial" w:eastAsia="Arial" w:hAnsi="Arial"/>
          <w:color w:val="000000"/>
          <w:spacing w:val="-1"/>
          <w:sz w:val="28"/>
        </w:rPr>
        <w:t xml:space="preserve"> count is Murder in the First Degree.</w:t>
      </w:r>
    </w:p>
    <w:p w14:paraId="73DE0A36" w14:textId="77777777" w:rsidR="00D673FD" w:rsidRDefault="002D1C67">
      <w:pPr>
        <w:spacing w:before="31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defendant is guilty of Murder in the First Degree when, with intent to cause the death of another person, the defendant causes the death of such person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of a third person]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28"/>
        </w:rPr>
        <w:t xml:space="preserve"> and, as part of the same criminal transaction, the defendant, w</w:t>
      </w:r>
      <w:r>
        <w:rPr>
          <w:rFonts w:ascii="Arial" w:eastAsia="Arial" w:hAnsi="Arial"/>
          <w:color w:val="000000"/>
          <w:sz w:val="28"/>
        </w:rPr>
        <w:t>ith intent to cause serious physical injury to or the death of an additional person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persons], causes the death of an additional person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persons], provided that the victim was not a participant in the criminal transaction, and the defendant was more than eighteen (18) years old at the time of the commission of the crime.</w:t>
      </w:r>
    </w:p>
    <w:p w14:paraId="73DE0A37" w14:textId="77777777" w:rsidR="00D673FD" w:rsidRDefault="002D1C67">
      <w:pPr>
        <w:spacing w:before="320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73DE0A38" w14:textId="77777777" w:rsidR="00D673FD" w:rsidRDefault="002D1C67">
      <w:pPr>
        <w:spacing w:before="30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</w:t>
      </w:r>
      <w:r>
        <w:rPr>
          <w:rFonts w:ascii="Arial" w:eastAsia="Arial" w:hAnsi="Arial"/>
          <w:color w:val="000000"/>
          <w:sz w:val="28"/>
        </w:rPr>
        <w:t>TENT means conscious objective or purpose. Thus, a person acts with intent to cause the death of another person when his or her conscious objective or purpose is to cause the death of that person. Similarly, a person acts with intent to cause serious physi</w:t>
      </w:r>
      <w:r>
        <w:rPr>
          <w:rFonts w:ascii="Arial" w:eastAsia="Arial" w:hAnsi="Arial"/>
          <w:color w:val="000000"/>
          <w:sz w:val="28"/>
        </w:rPr>
        <w:t>cal injury to another person when his or her conscious objective or purpose is to cause serious physical injury to that person.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3DE0A39" w14:textId="77777777" w:rsidR="00D673FD" w:rsidRDefault="002D1C67">
      <w:pPr>
        <w:spacing w:before="653" w:after="356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CRIMINAL TRANSACTION means conduct which establishes at least one offense, and which is comprised of two or more or a group of</w:t>
      </w:r>
      <w:r>
        <w:rPr>
          <w:rFonts w:ascii="Arial" w:eastAsia="Arial" w:hAnsi="Arial"/>
          <w:color w:val="000000"/>
          <w:spacing w:val="-3"/>
          <w:sz w:val="28"/>
        </w:rPr>
        <w:t xml:space="preserve"> acts either (a) so closely related and connected in point of time and circumstance of commission as to</w:t>
      </w:r>
    </w:p>
    <w:p w14:paraId="73DE0A3A" w14:textId="77777777" w:rsidR="00D673FD" w:rsidRDefault="002D1C67">
      <w:pPr>
        <w:spacing w:before="256" w:line="275" w:lineRule="exact"/>
        <w:ind w:firstLine="288"/>
        <w:jc w:val="both"/>
        <w:textAlignment w:val="baseline"/>
        <w:rPr>
          <w:rFonts w:ascii="Arial" w:eastAsia="Arial" w:hAnsi="Arial"/>
          <w:color w:val="000000"/>
          <w:sz w:val="15"/>
          <w:vertAlign w:val="superscript"/>
        </w:rPr>
      </w:pPr>
      <w:r>
        <w:pict w14:anchorId="73DE0A4C">
          <v:line id="_x0000_s1027" style="position:absolute;left:0;text-align:left;z-index:251657216;mso-position-horizontal-relative:page;mso-position-vertical-relative:page" from="108pt,658.55pt" to="252.05pt,658.5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5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>If transferred intent applies and is in issue, see Additional Charges at the end of this article.</w:t>
      </w:r>
    </w:p>
    <w:p w14:paraId="73DE0A3B" w14:textId="77777777" w:rsidR="00D673FD" w:rsidRDefault="002D1C67">
      <w:pPr>
        <w:spacing w:before="247" w:line="275" w:lineRule="exact"/>
        <w:ind w:firstLine="432"/>
        <w:jc w:val="both"/>
        <w:textAlignment w:val="baseline"/>
        <w:rPr>
          <w:rFonts w:ascii="Arial" w:eastAsia="Arial" w:hAnsi="Arial"/>
          <w:color w:val="000000"/>
          <w:sz w:val="15"/>
          <w:vertAlign w:val="superscript"/>
        </w:rPr>
      </w:pPr>
      <w:r>
        <w:rPr>
          <w:rFonts w:ascii="Arial" w:eastAsia="Arial" w:hAnsi="Arial"/>
          <w:color w:val="000000"/>
          <w:sz w:val="15"/>
          <w:vertAlign w:val="superscript"/>
        </w:rPr>
        <w:t>2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15.05(1). For an expanded charge on intent, see General Charges, Culpable Mental States, Intent.</w:t>
      </w:r>
    </w:p>
    <w:p w14:paraId="73DE0A3C" w14:textId="77777777" w:rsidR="00D673FD" w:rsidRDefault="00D673FD">
      <w:pPr>
        <w:sectPr w:rsidR="00D673FD">
          <w:pgSz w:w="12240" w:h="15840"/>
          <w:pgMar w:top="1080" w:right="2140" w:bottom="664" w:left="2160" w:header="720" w:footer="720" w:gutter="0"/>
          <w:cols w:space="720"/>
        </w:sectPr>
      </w:pPr>
    </w:p>
    <w:p w14:paraId="73DE0A3D" w14:textId="77777777" w:rsidR="00D673FD" w:rsidRDefault="002D1C67">
      <w:pPr>
        <w:spacing w:before="14" w:line="319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constitute a single criminal incident, or (b) so closely related in criminal purpose or objective as to constitute elements or integral p</w:t>
      </w:r>
      <w:r>
        <w:rPr>
          <w:rFonts w:ascii="Arial" w:eastAsia="Arial" w:hAnsi="Arial"/>
          <w:color w:val="000000"/>
          <w:sz w:val="28"/>
        </w:rPr>
        <w:t xml:space="preserve">arts of a single criminal venture. 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3DE0A3E" w14:textId="77777777" w:rsidR="00D673FD" w:rsidRDefault="002D1C67">
      <w:pPr>
        <w:spacing w:before="335" w:line="322" w:lineRule="exact"/>
        <w:ind w:firstLine="792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SERIOUS PHYSICAL INJURY means impairment of a person's physical condition which creates a substantial risk of death, or which causes death, or serious and protracted disfigurement, or protracted impairment of health or</w:t>
      </w:r>
      <w:r>
        <w:rPr>
          <w:rFonts w:ascii="Arial" w:eastAsia="Arial" w:hAnsi="Arial"/>
          <w:color w:val="000000"/>
          <w:sz w:val="28"/>
        </w:rPr>
        <w:t xml:space="preserve"> protracted loss or impairment of the function of any bodily organ.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3DE0A3F" w14:textId="77777777" w:rsidR="00D673FD" w:rsidRDefault="002D1C67">
      <w:pPr>
        <w:spacing w:before="332"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>In order for you to find the defendant guilty of this crime, the People are required to prove, from all the evidence in the case, beyond a reasonable doubt, each of the following five elements:</w:t>
      </w:r>
    </w:p>
    <w:p w14:paraId="73DE0A40" w14:textId="77777777" w:rsidR="00D673FD" w:rsidRDefault="002D1C67">
      <w:pPr>
        <w:numPr>
          <w:ilvl w:val="0"/>
          <w:numId w:val="1"/>
        </w:numPr>
        <w:tabs>
          <w:tab w:val="clear" w:pos="648"/>
          <w:tab w:val="left" w:pos="1440"/>
        </w:tabs>
        <w:spacing w:before="317" w:line="326" w:lineRule="exact"/>
        <w:ind w:left="1440" w:hanging="648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z w:val="28"/>
        </w:rPr>
        <w:t xml:space="preserve"> , the defendant,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z w:val="28"/>
        </w:rPr>
        <w:t xml:space="preserve"> , caused the deaths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(names of victims) </w:t>
      </w:r>
      <w:r>
        <w:rPr>
          <w:rFonts w:ascii="Arial" w:eastAsia="Arial" w:hAnsi="Arial"/>
          <w:color w:val="000000"/>
          <w:sz w:val="28"/>
        </w:rPr>
        <w:t xml:space="preserve"> ;</w:t>
      </w:r>
    </w:p>
    <w:p w14:paraId="73DE0A41" w14:textId="77777777" w:rsidR="00D673FD" w:rsidRDefault="002D1C67">
      <w:pPr>
        <w:numPr>
          <w:ilvl w:val="0"/>
          <w:numId w:val="1"/>
        </w:numPr>
        <w:tabs>
          <w:tab w:val="clear" w:pos="648"/>
          <w:tab w:val="left" w:pos="1440"/>
        </w:tabs>
        <w:spacing w:before="327" w:line="323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did so with the intent to cause the death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(name of one victim) </w:t>
      </w:r>
      <w:r>
        <w:rPr>
          <w:rFonts w:ascii="Arial" w:eastAsia="Arial" w:hAnsi="Arial"/>
          <w:color w:val="000000"/>
          <w:sz w:val="28"/>
        </w:rPr>
        <w:t xml:space="preserve"> and the intent to cause either the death or serious physical injury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(name of </w:t>
      </w:r>
      <w:proofErr w:type="gramStart"/>
      <w:r>
        <w:rPr>
          <w:rFonts w:ascii="Arial" w:eastAsia="Arial" w:hAnsi="Arial"/>
          <w:i/>
          <w:color w:val="000000"/>
          <w:sz w:val="23"/>
          <w:u w:val="single"/>
        </w:rPr>
        <w:t>othe</w:t>
      </w:r>
      <w:r>
        <w:rPr>
          <w:rFonts w:ascii="Arial" w:eastAsia="Arial" w:hAnsi="Arial"/>
          <w:i/>
          <w:color w:val="000000"/>
          <w:sz w:val="23"/>
          <w:u w:val="single"/>
        </w:rPr>
        <w:t>r</w:t>
      </w:r>
      <w:proofErr w:type="gramEnd"/>
      <w:r>
        <w:rPr>
          <w:rFonts w:ascii="Arial" w:eastAsia="Arial" w:hAnsi="Arial"/>
          <w:i/>
          <w:color w:val="000000"/>
          <w:sz w:val="23"/>
          <w:u w:val="single"/>
        </w:rPr>
        <w:t xml:space="preserve"> victim) </w:t>
      </w:r>
      <w:r>
        <w:rPr>
          <w:rFonts w:ascii="Arial" w:eastAsia="Arial" w:hAnsi="Arial"/>
          <w:color w:val="000000"/>
          <w:sz w:val="28"/>
        </w:rPr>
        <w:t xml:space="preserve"> ;</w:t>
      </w:r>
    </w:p>
    <w:p w14:paraId="73DE0A42" w14:textId="77777777" w:rsidR="00D673FD" w:rsidRDefault="002D1C67">
      <w:pPr>
        <w:numPr>
          <w:ilvl w:val="0"/>
          <w:numId w:val="1"/>
        </w:numPr>
        <w:tabs>
          <w:tab w:val="clear" w:pos="648"/>
          <w:tab w:val="left" w:pos="1440"/>
        </w:tabs>
        <w:spacing w:before="322" w:line="326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caused both deaths during the same criminal transaction;</w:t>
      </w:r>
    </w:p>
    <w:p w14:paraId="73DE0A43" w14:textId="77777777" w:rsidR="00D673FD" w:rsidRDefault="002D1C67">
      <w:pPr>
        <w:numPr>
          <w:ilvl w:val="0"/>
          <w:numId w:val="1"/>
        </w:numPr>
        <w:tabs>
          <w:tab w:val="clear" w:pos="648"/>
          <w:tab w:val="left" w:pos="1440"/>
        </w:tabs>
        <w:spacing w:before="326" w:line="322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neither victim was a participant in the criminal transaction; and</w:t>
      </w:r>
    </w:p>
    <w:p w14:paraId="73DE0A44" w14:textId="77777777" w:rsidR="00D673FD" w:rsidRDefault="002D1C67">
      <w:pPr>
        <w:numPr>
          <w:ilvl w:val="0"/>
          <w:numId w:val="1"/>
        </w:numPr>
        <w:tabs>
          <w:tab w:val="clear" w:pos="648"/>
          <w:tab w:val="left" w:pos="1440"/>
        </w:tabs>
        <w:spacing w:before="322" w:line="326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was more than eighteen (18) years old at the time of the commission of the cr</w:t>
      </w:r>
      <w:r>
        <w:rPr>
          <w:rFonts w:ascii="Arial" w:eastAsia="Arial" w:hAnsi="Arial"/>
          <w:color w:val="000000"/>
          <w:sz w:val="28"/>
        </w:rPr>
        <w:t>ime.</w:t>
      </w:r>
    </w:p>
    <w:p w14:paraId="73DE0A45" w14:textId="77777777" w:rsidR="00D673FD" w:rsidRDefault="002D1C67">
      <w:pPr>
        <w:spacing w:before="646"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73DE0A46" w14:textId="77777777" w:rsidR="00D673FD" w:rsidRDefault="002D1C67">
      <w:pPr>
        <w:spacing w:before="329" w:after="310" w:line="319" w:lineRule="exact"/>
        <w:ind w:left="792"/>
        <w:jc w:val="both"/>
        <w:textAlignment w:val="baseline"/>
        <w:rPr>
          <w:rFonts w:ascii="Arial" w:eastAsia="Arial" w:hAnsi="Arial"/>
          <w:color w:val="000000"/>
          <w:spacing w:val="-6"/>
          <w:sz w:val="28"/>
        </w:rPr>
      </w:pPr>
      <w:r>
        <w:rPr>
          <w:rFonts w:ascii="Arial" w:eastAsia="Arial" w:hAnsi="Arial"/>
          <w:color w:val="000000"/>
          <w:spacing w:val="-6"/>
          <w:sz w:val="28"/>
        </w:rPr>
        <w:t>If you find the People have not proven beyond a reasonable</w:t>
      </w:r>
    </w:p>
    <w:p w14:paraId="73DE0A47" w14:textId="77777777" w:rsidR="00D673FD" w:rsidRDefault="002D1C67">
      <w:pPr>
        <w:spacing w:before="255" w:line="274" w:lineRule="exact"/>
        <w:ind w:left="216"/>
        <w:textAlignment w:val="baseline"/>
        <w:rPr>
          <w:rFonts w:ascii="Arial" w:eastAsia="Arial" w:hAnsi="Arial"/>
          <w:color w:val="000000"/>
          <w:spacing w:val="1"/>
          <w:sz w:val="14"/>
          <w:vertAlign w:val="superscript"/>
        </w:rPr>
      </w:pPr>
      <w:r>
        <w:pict w14:anchorId="73DE0A4D">
          <v:line id="_x0000_s1026" style="position:absolute;left:0;text-align:left;z-index:251658240;mso-position-horizontal-relative:page;mso-position-vertical-relative:page" from="107.55pt,686.15pt" to="252.05pt,686.1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4"/>
          <w:vertAlign w:val="superscript"/>
        </w:rPr>
        <w:t>3</w:t>
      </w:r>
      <w:r>
        <w:rPr>
          <w:rFonts w:ascii="Arial" w:eastAsia="Arial" w:hAnsi="Arial"/>
          <w:color w:val="000000"/>
          <w:spacing w:val="1"/>
          <w:sz w:val="24"/>
        </w:rPr>
        <w:t xml:space="preserve"> CPL 40.10(2). </w:t>
      </w:r>
      <w:r>
        <w:rPr>
          <w:rFonts w:ascii="Arial" w:eastAsia="Arial" w:hAnsi="Arial"/>
          <w:i/>
          <w:color w:val="000000"/>
          <w:spacing w:val="1"/>
          <w:sz w:val="24"/>
        </w:rPr>
        <w:t>People v. Duggins</w:t>
      </w:r>
      <w:r>
        <w:rPr>
          <w:rFonts w:ascii="Arial" w:eastAsia="Arial" w:hAnsi="Arial"/>
          <w:color w:val="000000"/>
          <w:spacing w:val="1"/>
          <w:sz w:val="24"/>
        </w:rPr>
        <w:t>, 3 N.Y.3d 522, 528-29 (2004)</w:t>
      </w:r>
    </w:p>
    <w:p w14:paraId="73DE0A48" w14:textId="77777777" w:rsidR="00D673FD" w:rsidRDefault="002D1C67">
      <w:pPr>
        <w:spacing w:before="246" w:line="274" w:lineRule="exact"/>
        <w:ind w:left="216"/>
        <w:textAlignment w:val="baseline"/>
        <w:rPr>
          <w:rFonts w:ascii="Arial" w:eastAsia="Arial" w:hAnsi="Arial"/>
          <w:color w:val="000000"/>
          <w:spacing w:val="1"/>
          <w:sz w:val="14"/>
          <w:vertAlign w:val="superscript"/>
        </w:rPr>
      </w:pPr>
      <w:r>
        <w:rPr>
          <w:rFonts w:ascii="Arial" w:eastAsia="Arial" w:hAnsi="Arial"/>
          <w:color w:val="000000"/>
          <w:spacing w:val="1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pacing w:val="1"/>
          <w:sz w:val="24"/>
        </w:rPr>
        <w:t xml:space="preserve"> See </w:t>
      </w:r>
      <w:r>
        <w:rPr>
          <w:rFonts w:ascii="Arial" w:eastAsia="Arial" w:hAnsi="Arial"/>
          <w:color w:val="000000"/>
          <w:spacing w:val="1"/>
          <w:sz w:val="24"/>
        </w:rPr>
        <w:t>Penal Law § 10.00(10).</w:t>
      </w:r>
    </w:p>
    <w:p w14:paraId="73DE0A49" w14:textId="77777777" w:rsidR="00D673FD" w:rsidRDefault="00D673FD">
      <w:pPr>
        <w:sectPr w:rsidR="00D673FD">
          <w:pgSz w:w="12240" w:h="15840"/>
          <w:pgMar w:top="1080" w:right="2113" w:bottom="644" w:left="2151" w:header="720" w:footer="720" w:gutter="0"/>
          <w:cols w:space="720"/>
        </w:sectPr>
      </w:pPr>
    </w:p>
    <w:p w14:paraId="73DE0A4A" w14:textId="77777777" w:rsidR="00D673FD" w:rsidRDefault="002D1C67">
      <w:pPr>
        <w:spacing w:before="10" w:line="322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doubt any one or more of those elements, you must find the defendant not guilty of this crime.</w:t>
      </w:r>
    </w:p>
    <w:p w14:paraId="73DE0A4B" w14:textId="77777777" w:rsidR="00D673FD" w:rsidRDefault="002D1C67">
      <w:pPr>
        <w:spacing w:before="327" w:line="321" w:lineRule="exact"/>
        <w:jc w:val="both"/>
        <w:textAlignment w:val="baseline"/>
        <w:rPr>
          <w:rFonts w:ascii="Arial" w:eastAsia="Arial" w:hAnsi="Arial"/>
          <w:i/>
          <w:color w:val="000000"/>
          <w:spacing w:val="-2"/>
          <w:sz w:val="28"/>
        </w:rPr>
      </w:pPr>
      <w:r>
        <w:rPr>
          <w:rFonts w:ascii="Arial" w:eastAsia="Arial" w:hAnsi="Arial"/>
          <w:i/>
          <w:color w:val="000000"/>
          <w:spacing w:val="-2"/>
          <w:sz w:val="28"/>
        </w:rPr>
        <w:t>[NOTE: If either of the affirmative defenses -- Extreme Emotional Disturbance (§ 125.27(2)(a)) or Aiding a Suicide (§ 125.27(2)(b)) -- applies, omit the final two paragraphs of the above charge, and substitute one of the charges at the end of this article.</w:t>
      </w:r>
      <w:r>
        <w:rPr>
          <w:rFonts w:ascii="Arial" w:eastAsia="Arial" w:hAnsi="Arial"/>
          <w:i/>
          <w:color w:val="000000"/>
          <w:spacing w:val="-2"/>
          <w:sz w:val="28"/>
        </w:rPr>
        <w:t>]</w:t>
      </w:r>
    </w:p>
    <w:sectPr w:rsidR="00D673FD">
      <w:pgSz w:w="12240" w:h="15840"/>
      <w:pgMar w:top="1080" w:right="2120" w:bottom="12084" w:left="2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20D"/>
    <w:multiLevelType w:val="multilevel"/>
    <w:tmpl w:val="9C061478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3FD"/>
    <w:rsid w:val="002D1C67"/>
    <w:rsid w:val="00D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DE0A34"/>
  <w15:docId w15:val="{62A86073-5C7F-4698-BFF6-2D93D0F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2018-07-14T16:59:00Z</dcterms:created>
  <dcterms:modified xsi:type="dcterms:W3CDTF">2018-07-14T17:00:00Z</dcterms:modified>
</cp:coreProperties>
</file>