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3" w:after="0" w:line="307" w:lineRule="exact"/>
        <w:ind w:right="0" w:left="0" w:firstLine="0"/>
        <w:jc w:val="center"/>
        <w:textAlignment w:val="baseline"/>
        <w:rPr>
          <w:rFonts w:ascii="Arial" w:hAnsi="Arial" w:eastAsia="Arial"/>
          <w:b w:val="true"/>
          <w:color w:val="000000"/>
          <w:spacing w:val="0"/>
          <w:w w:val="100"/>
          <w:sz w:val="26"/>
          <w:vertAlign w:val="baseline"/>
          <w:lang w:val="en-US"/>
        </w:rPr>
      </w:pPr>
      <w:r>
        <w:rPr>
          <w:rFonts w:ascii="Arial" w:hAnsi="Arial" w:eastAsia="Arial"/>
          <w:b w:val="true"/>
          <w:color w:val="000000"/>
          <w:spacing w:val="0"/>
          <w:w w:val="100"/>
          <w:sz w:val="26"/>
          <w:vertAlign w:val="baseline"/>
          <w:lang w:val="en-US"/>
        </w:rPr>
        <w:t xml:space="preserve">STALKING IN THE SECOND DEGREE</w:t>
        <w:br/>
      </w:r>
      <w:r>
        <w:rPr>
          <w:rFonts w:ascii="Arial" w:hAnsi="Arial" w:eastAsia="Arial"/>
          <w:b w:val="true"/>
          <w:color w:val="000000"/>
          <w:spacing w:val="0"/>
          <w:w w:val="100"/>
          <w:sz w:val="26"/>
          <w:vertAlign w:val="baseline"/>
          <w:lang w:val="en-US"/>
        </w:rPr>
        <w:t xml:space="preserve">(Weapon)</w:t>
        <w:br/>
      </w:r>
      <w:r>
        <w:rPr>
          <w:rFonts w:ascii="Arial" w:hAnsi="Arial" w:eastAsia="Arial"/>
          <w:b w:val="true"/>
          <w:color w:val="000000"/>
          <w:spacing w:val="0"/>
          <w:w w:val="100"/>
          <w:sz w:val="26"/>
          <w:vertAlign w:val="baseline"/>
          <w:lang w:val="en-US"/>
        </w:rPr>
        <w:t xml:space="preserve">Penal Law § 120.55(1)</w:t>
        <w:br/>
      </w:r>
      <w:r>
        <w:rPr>
          <w:rFonts w:ascii="Arial" w:hAnsi="Arial" w:eastAsia="Arial"/>
          <w:b w:val="true"/>
          <w:color w:val="000000"/>
          <w:spacing w:val="0"/>
          <w:w w:val="100"/>
          <w:sz w:val="26"/>
          <w:vertAlign w:val="baseline"/>
          <w:lang w:val="en-US"/>
        </w:rPr>
        <w:t xml:space="preserve">(Committed on or after Dec. 1, 1999) </w:t>
      </w:r>
      <w:r>
        <w:rPr>
          <w:rFonts w:ascii="Arial" w:hAnsi="Arial" w:eastAsia="Arial"/>
          <w:color w:val="000000"/>
          <w:spacing w:val="0"/>
          <w:w w:val="100"/>
          <w:sz w:val="26"/>
          <w:vertAlign w:val="superscript"/>
          <w:lang w:val="en-US"/>
        </w:rPr>
        <w:t xml:space="preserve">1</w:t>
      </w:r>
      <w:r>
        <w:rPr>
          <w:rFonts w:ascii="Arial" w:hAnsi="Arial" w:eastAsia="Arial"/>
          <w:color w:val="000000"/>
          <w:spacing w:val="0"/>
          <w:w w:val="100"/>
          <w:sz w:val="16"/>
          <w:vertAlign w:val="baseline"/>
          <w:lang w:val="en-US"/>
        </w:rPr>
        <w:t xml:space="preserve"></w:t>
        <w:br/>
      </w:r>
      <w:r>
        <w:rPr>
          <w:rFonts w:ascii="Arial" w:hAnsi="Arial" w:eastAsia="Arial"/>
          <w:b w:val="true"/>
          <w:color w:val="000000"/>
          <w:spacing w:val="0"/>
          <w:w w:val="100"/>
          <w:sz w:val="26"/>
          <w:vertAlign w:val="baseline"/>
          <w:lang w:val="en-US"/>
        </w:rPr>
        <w:t xml:space="preserve">(Revised Dec. 6, 2003, May 5, 2009, and April 2018) </w:t>
      </w:r>
      <w:r>
        <w:rPr>
          <w:rFonts w:ascii="Arial" w:hAnsi="Arial" w:eastAsia="Arial"/>
          <w:b w:val="true"/>
          <w:color w:val="000000"/>
          <w:spacing w:val="0"/>
          <w:w w:val="100"/>
          <w:sz w:val="26"/>
          <w:vertAlign w:val="superscript"/>
          <w:lang w:val="en-US"/>
        </w:rPr>
        <w:t xml:space="preserve">2</w:t>
      </w:r>
      <w:r>
        <w:rPr>
          <w:rFonts w:ascii="Arial" w:hAnsi="Arial" w:eastAsia="Arial"/>
          <w:b w:val="true"/>
          <w:color w:val="000000"/>
          <w:spacing w:val="0"/>
          <w:w w:val="100"/>
          <w:sz w:val="16"/>
          <w:vertAlign w:val="baseline"/>
          <w:lang w:val="en-US"/>
        </w:rPr>
        <w:t xml:space="preserve">
</w:t>
      </w:r>
    </w:p>
    <w:p>
      <w:pPr>
        <w:pageBreakBefore w:val="false"/>
        <w:spacing w:before="600" w:after="0" w:line="296"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The (</w:t>
      </w:r>
      <w:r>
        <w:rPr>
          <w:rFonts w:ascii="Arial" w:hAnsi="Arial" w:eastAsia="Arial"/>
          <w:i w:val="true"/>
          <w:color w:val="000000"/>
          <w:spacing w:val="0"/>
          <w:w w:val="100"/>
          <w:sz w:val="26"/>
          <w:u w:val="single"/>
          <w:vertAlign w:val="baseline"/>
          <w:lang w:val="en-US"/>
        </w:rPr>
        <w:t xml:space="preserve">specify</w:t>
      </w:r>
      <w:r>
        <w:rPr>
          <w:rFonts w:ascii="Arial" w:hAnsi="Arial" w:eastAsia="Arial"/>
          <w:color w:val="000000"/>
          <w:spacing w:val="0"/>
          <w:w w:val="100"/>
          <w:sz w:val="26"/>
          <w:vertAlign w:val="baseline"/>
          <w:lang w:val="en-US"/>
        </w:rPr>
        <w:t xml:space="preserve">) count is Stalking in the Second Degree.</w:t>
      </w:r>
    </w:p>
    <w:p>
      <w:pPr>
        <w:pageBreakBefore w:val="false"/>
        <w:spacing w:before="307" w:after="0" w:line="296" w:lineRule="exact"/>
        <w:ind w:right="0" w:left="0" w:firstLine="720"/>
        <w:jc w:val="both"/>
        <w:textAlignment w:val="baseline"/>
        <w:rPr>
          <w:rFonts w:ascii="Arial" w:hAnsi="Arial" w:eastAsia="Arial"/>
          <w:color w:val="000000"/>
          <w:spacing w:val="-4"/>
          <w:w w:val="100"/>
          <w:sz w:val="26"/>
          <w:vertAlign w:val="baseline"/>
          <w:lang w:val="en-US"/>
        </w:rPr>
      </w:pPr>
      <w:r>
        <w:rPr>
          <w:rFonts w:ascii="Arial" w:hAnsi="Arial" w:eastAsia="Arial"/>
          <w:color w:val="000000"/>
          <w:spacing w:val="-4"/>
          <w:w w:val="100"/>
          <w:sz w:val="26"/>
          <w:vertAlign w:val="baseline"/>
          <w:lang w:val="en-US"/>
        </w:rPr>
        <w:t xml:space="preserve">Under our law a person is guilty of Stalking in the Second Degree when he or she with intent to harass, annoy or alarm a specific person, intentionally engages in a course of conduct directed at such person which is likely to cause such person to reasonably fear physical injury or serious physical injury, the commission of a sex offense against, or the kidnapping, unlawful imprisonment or death of such person or a member of such person’s immediate family,</w:t>
      </w:r>
    </w:p>
    <w:p>
      <w:pPr>
        <w:pageBreakBefore w:val="false"/>
        <w:spacing w:before="307" w:after="0" w:line="293" w:lineRule="exact"/>
        <w:ind w:right="0" w:left="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and in the course of and in furtherance of the commission of such offense:</w:t>
      </w:r>
    </w:p>
    <w:p>
      <w:pPr>
        <w:pageBreakBefore w:val="false"/>
        <w:spacing w:before="306" w:after="0" w:line="294" w:lineRule="exact"/>
        <w:ind w:right="0" w:left="0" w:firstLine="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displays, or possesses and threatens the use of:</w:t>
      </w:r>
    </w:p>
    <w:p>
      <w:pPr>
        <w:pageBreakBefore w:val="false"/>
        <w:spacing w:before="296" w:after="0" w:line="296" w:lineRule="exact"/>
        <w:ind w:right="0" w:left="0" w:firstLine="0"/>
        <w:jc w:val="left"/>
        <w:textAlignment w:val="baseline"/>
        <w:rPr>
          <w:rFonts w:ascii="Arial" w:hAnsi="Arial" w:eastAsia="Arial"/>
          <w:i w:val="true"/>
          <w:color w:val="000000"/>
          <w:spacing w:val="0"/>
          <w:w w:val="100"/>
          <w:sz w:val="26"/>
          <w:u w:val="single"/>
          <w:vertAlign w:val="baseline"/>
          <w:lang w:val="en-US"/>
        </w:rPr>
      </w:pPr>
      <w:r>
        <w:rPr>
          <w:rFonts w:ascii="Arial" w:hAnsi="Arial" w:eastAsia="Arial"/>
          <w:i w:val="true"/>
          <w:color w:val="000000"/>
          <w:spacing w:val="0"/>
          <w:w w:val="100"/>
          <w:sz w:val="26"/>
          <w:u w:val="single"/>
          <w:vertAlign w:val="baseline"/>
          <w:lang w:val="en-US"/>
        </w:rPr>
        <w:t xml:space="preserve">Select appropriate weapon: </w:t>
      </w:r>
    </w:p>
    <w:p>
      <w:pPr>
        <w:pageBreakBefore w:val="false"/>
        <w:spacing w:before="7" w:after="0" w:line="294" w:lineRule="exact"/>
        <w:ind w:right="0" w:left="0" w:firstLine="0"/>
        <w:jc w:val="center"/>
        <w:textAlignment w:val="baseline"/>
        <w:rPr>
          <w:rFonts w:ascii="Arial" w:hAnsi="Arial" w:eastAsia="Arial"/>
          <w:color w:val="000000"/>
          <w:spacing w:val="-1"/>
          <w:w w:val="100"/>
          <w:sz w:val="26"/>
          <w:vertAlign w:val="baseline"/>
          <w:lang w:val="en-US"/>
        </w:rPr>
      </w:pPr>
      <w:r>
        <w:rPr>
          <w:rFonts w:ascii="Arial" w:hAnsi="Arial" w:eastAsia="Arial"/>
          <w:color w:val="000000"/>
          <w:spacing w:val="-1"/>
          <w:w w:val="100"/>
          <w:sz w:val="26"/>
          <w:vertAlign w:val="baseline"/>
          <w:lang w:val="en-US"/>
        </w:rPr>
        <w:t xml:space="preserve">a firearm, pistol, revolver, rifle, shotgun, machine gun, electronic dart</w:t>
      </w:r>
    </w:p>
    <w:p>
      <w:pPr>
        <w:pageBreakBefore w:val="false"/>
        <w:spacing w:before="3" w:after="380" w:line="294" w:lineRule="exact"/>
        <w:ind w:right="0" w:left="0" w:firstLine="0"/>
        <w:jc w:val="left"/>
        <w:textAlignment w:val="baseline"/>
        <w:rPr>
          <w:rFonts w:ascii="Arial" w:hAnsi="Arial" w:eastAsia="Arial"/>
          <w:color w:val="000000"/>
          <w:spacing w:val="-4"/>
          <w:w w:val="100"/>
          <w:sz w:val="26"/>
          <w:vertAlign w:val="baseline"/>
          <w:lang w:val="en-US"/>
        </w:rPr>
      </w:pPr>
      <w:r>
        <w:rPr>
          <w:rFonts w:ascii="Arial" w:hAnsi="Arial" w:eastAsia="Arial"/>
          <w:color w:val="000000"/>
          <w:spacing w:val="-4"/>
          <w:w w:val="100"/>
          <w:sz w:val="26"/>
          <w:vertAlign w:val="baseline"/>
          <w:lang w:val="en-US"/>
        </w:rPr>
        <w:t xml:space="preserve">gun, electronic stun gun, cane sword, billy, blackjack, bludgeon, plastic</w:t>
      </w:r>
    </w:p>
    <w:p>
      <w:pPr>
        <w:pageBreakBefore w:val="false"/>
        <w:tabs>
          <w:tab w:val="right" w:leader="none" w:pos="7920"/>
        </w:tabs>
        <w:spacing w:before="253" w:after="0" w:line="272" w:lineRule="exact"/>
        <w:ind w:right="0" w:left="360" w:firstLine="0"/>
        <w:jc w:val="left"/>
        <w:textAlignment w:val="baseline"/>
        <w:rPr>
          <w:rFonts w:ascii="Arial" w:hAnsi="Arial" w:eastAsia="Arial"/>
          <w:color w:val="000000"/>
          <w:spacing w:val="0"/>
          <w:w w:val="100"/>
          <w:sz w:val="14"/>
          <w:vertAlign w:val="superscript"/>
          <w:lang w:val="en-US"/>
        </w:rPr>
      </w:pPr>
      <w:r>
        <w:pict>
          <v:line strokeweight="0.95pt" strokecolor="#000000" from="108pt,448.55pt" to="252.05pt,448.5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ab/>
      </w:r>
      <w:r>
        <w:rPr>
          <w:rFonts w:ascii="Arial" w:hAnsi="Arial" w:eastAsia="Arial"/>
          <w:color w:val="000000"/>
          <w:spacing w:val="0"/>
          <w:w w:val="100"/>
          <w:sz w:val="24"/>
          <w:vertAlign w:val="baseline"/>
          <w:lang w:val="en-US"/>
        </w:rPr>
        <w:t xml:space="preserve">This charge applies when the crime was committed on or after</w:t>
      </w:r>
    </w:p>
    <w:p>
      <w:pPr>
        <w:pageBreakBefore w:val="false"/>
        <w:spacing w:before="1" w:after="0" w:line="279" w:lineRule="exact"/>
        <w:ind w:right="0" w:left="0" w:firstLine="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December 1, 1999, except as to the following weapon which was added to the definition of "deadly weapon" [Penal Law § 10.00(12)] after that date:</w:t>
      </w:r>
    </w:p>
    <w:p>
      <w:pPr>
        <w:pageBreakBefore w:val="false"/>
        <w:spacing w:before="279" w:after="0" w:line="273" w:lineRule="exact"/>
        <w:ind w:right="0" w:left="0" w:firstLine="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November 1, 2008, was the effective date of an amendment to that definition to add "plastic knuckles." L. 2008, ch. 257.</w:t>
      </w:r>
    </w:p>
    <w:p>
      <w:pPr>
        <w:pageBreakBefore w:val="false"/>
        <w:spacing w:before="237" w:after="0" w:line="135" w:lineRule="exact"/>
        <w:ind w:right="0" w:left="360" w:firstLine="0"/>
        <w:jc w:val="left"/>
        <w:textAlignment w:val="baseline"/>
        <w:rPr>
          <w:rFonts w:ascii="Arial" w:hAnsi="Arial" w:eastAsia="Arial"/>
          <w:color w:val="000000"/>
          <w:spacing w:val="0"/>
          <w:w w:val="100"/>
          <w:sz w:val="14"/>
          <w:vertAlign w:val="baseline"/>
          <w:lang w:val="en-US"/>
        </w:rPr>
      </w:pPr>
      <w:r>
        <w:rPr>
          <w:rFonts w:ascii="Arial" w:hAnsi="Arial" w:eastAsia="Arial"/>
          <w:color w:val="000000"/>
          <w:spacing w:val="0"/>
          <w:w w:val="100"/>
          <w:sz w:val="14"/>
          <w:vertAlign w:val="baseline"/>
          <w:lang w:val="en-US"/>
        </w:rPr>
        <w:t xml:space="preserve">2</w:t>
      </w:r>
    </w:p>
    <w:p>
      <w:pPr>
        <w:pageBreakBefore w:val="false"/>
        <w:spacing w:before="0" w:after="0" w:line="263" w:lineRule="exact"/>
        <w:ind w:right="0" w:left="0" w:firstLine="576"/>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2003 revision was to reflect the decision in </w:t>
      </w:r>
      <w:r>
        <w:rPr>
          <w:rFonts w:ascii="Arial" w:hAnsi="Arial" w:eastAsia="Arial"/>
          <w:i w:val="true"/>
          <w:color w:val="000000"/>
          <w:spacing w:val="0"/>
          <w:w w:val="100"/>
          <w:sz w:val="24"/>
          <w:vertAlign w:val="baseline"/>
          <w:lang w:val="en-US"/>
        </w:rPr>
        <w:t xml:space="preserve">People v. Stuart</w:t>
      </w:r>
      <w:r>
        <w:rPr>
          <w:rFonts w:ascii="Arial" w:hAnsi="Arial" w:eastAsia="Arial"/>
          <w:color w:val="000000"/>
          <w:spacing w:val="0"/>
          <w:w w:val="100"/>
          <w:sz w:val="24"/>
          <w:vertAlign w:val="baseline"/>
          <w:lang w:val="en-US"/>
        </w:rPr>
        <w:t xml:space="preserve">,100 NY2d 412 (2003).</w:t>
      </w:r>
    </w:p>
    <w:p>
      <w:pPr>
        <w:pageBreakBefore w:val="false"/>
        <w:spacing w:before="283" w:after="0" w:line="273" w:lineRule="exact"/>
        <w:ind w:right="0" w:left="0" w:firstLine="36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2008 revision was to add the term “plastic knuckles” to the amended definition of “deadly weapon” contained in PL § 10.00(12) (L. 2008, c.257, § 1, eff. Nov. 1, 2008</w:t>
      </w:r>
      <w:r>
        <w:rPr>
          <w:rFonts w:ascii="Arial" w:hAnsi="Arial" w:eastAsia="Arial"/>
          <w:i w:val="true"/>
          <w:color w:val="000000"/>
          <w:spacing w:val="0"/>
          <w:w w:val="100"/>
          <w:sz w:val="24"/>
          <w:vertAlign w:val="baseline"/>
          <w:lang w:val="en-US"/>
        </w:rPr>
        <w:t xml:space="preserve">)</w:t>
      </w:r>
      <w:r>
        <w:rPr>
          <w:rFonts w:ascii="Arial" w:hAnsi="Arial" w:eastAsia="Arial"/>
          <w:color w:val="000000"/>
          <w:spacing w:val="0"/>
          <w:w w:val="100"/>
          <w:sz w:val="24"/>
          <w:vertAlign w:val="baseline"/>
          <w:lang w:val="en-US"/>
        </w:rPr>
        <w:t xml:space="preserve">.</w:t>
      </w:r>
    </w:p>
    <w:p>
      <w:pPr>
        <w:pageBreakBefore w:val="false"/>
        <w:spacing w:before="280" w:after="0" w:line="276" w:lineRule="exact"/>
        <w:ind w:right="0" w:left="0" w:firstLine="36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2018 revision was to include the full defintion of “deadly weapon” and the statutory and decisional law definitions of weapons included in that definition as set forth in footnote 10. And the definition of “dangerous instrument” was expanded.</w:t>
      </w:r>
    </w:p>
    <w:p>
      <w:pPr>
        <w:sectPr>
          <w:type w:val="nextPage"/>
          <w:pgSz w:w="12240" w:h="15840" w:orient="portrait"/>
          <w:pgMar w:bottom="1184" w:top="1080" w:right="2140" w:left="2160" w:header="720" w:footer="0"/>
          <w:titlePg w:val="false"/>
          <w:textDirection w:val="lrTb"/>
        </w:sectPr>
      </w:pPr>
    </w:p>
    <w:p>
      <w:pPr>
        <w:pageBreakBefore w:val="false"/>
        <w:spacing w:before="9" w:after="0" w:line="297" w:lineRule="exact"/>
        <w:ind w:right="0" w:left="0" w:firstLine="0"/>
        <w:jc w:val="both"/>
        <w:textAlignment w:val="baseline"/>
        <w:rPr>
          <w:rFonts w:ascii="Arial" w:hAnsi="Arial" w:eastAsia="Arial"/>
          <w:color w:val="000000"/>
          <w:spacing w:val="0"/>
          <w:w w:val="100"/>
          <w:sz w:val="26"/>
          <w:vertAlign w:val="baseline"/>
          <w:lang w:val="en-US"/>
        </w:rPr>
      </w:pPr>
      <w:r>
        <w:pict>
          <v:line strokeweight="0.95pt" strokecolor="#000000" from="107.85pt,270.5pt" to="252.05pt,270.5pt" style="position:absolute;mso-position-horizontal-relative:page;mso-position-vertical-relative:page;">
            <v:stroke dashstyle="solid"/>
          </v:line>
        </w:pict>
      </w:r>
      <w:r>
        <w:rPr>
          <w:rFonts w:ascii="Arial" w:hAnsi="Arial" w:eastAsia="Arial"/>
          <w:color w:val="000000"/>
          <w:spacing w:val="0"/>
          <w:w w:val="100"/>
          <w:sz w:val="26"/>
          <w:vertAlign w:val="baseline"/>
          <w:lang w:val="en-US"/>
        </w:rPr>
        <w:t xml:space="preserve">knuckles, metal knuckles, chuka stick, sand bag, sandclub, slingshot, slungshot, shirken, "Kung Fu Star", dagger, dangerous knife, dirk, razor, stiletto, imitation pistol, dangerous instrument, deadly instrument or deadly weapon;</w:t>
      </w:r>
    </w:p>
    <w:p>
      <w:pPr>
        <w:pageBreakBefore w:val="false"/>
        <w:spacing w:before="302" w:after="0" w:line="293" w:lineRule="exact"/>
        <w:ind w:right="0" w:left="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w:t>
      </w:r>
      <w:r>
        <w:rPr>
          <w:rFonts w:ascii="Arial" w:hAnsi="Arial" w:eastAsia="Arial"/>
          <w:i w:val="true"/>
          <w:color w:val="000000"/>
          <w:spacing w:val="0"/>
          <w:w w:val="100"/>
          <w:sz w:val="26"/>
          <w:vertAlign w:val="baseline"/>
          <w:lang w:val="en-US"/>
        </w:rPr>
        <w:t xml:space="preserve">or </w:t>
      </w:r>
      <w:r>
        <w:rPr>
          <w:rFonts w:ascii="Arial" w:hAnsi="Arial" w:eastAsia="Arial"/>
          <w:color w:val="000000"/>
          <w:spacing w:val="0"/>
          <w:w w:val="100"/>
          <w:sz w:val="26"/>
          <w:vertAlign w:val="baseline"/>
          <w:lang w:val="en-US"/>
        </w:rPr>
        <w:t xml:space="preserve">displays what appears to be a pistol, revolver, rifle, shotgun, machine gun or other firearm].</w:t>
      </w:r>
    </w:p>
    <w:p>
      <w:pPr>
        <w:pageBreakBefore w:val="false"/>
        <w:spacing w:before="331" w:after="0" w:line="280"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The following terms used in that definition have a special meaning:</w:t>
      </w:r>
      <w:r>
        <w:rPr>
          <w:rFonts w:ascii="Arial" w:hAnsi="Arial" w:eastAsia="Arial"/>
          <w:color w:val="000000"/>
          <w:spacing w:val="0"/>
          <w:w w:val="100"/>
          <w:sz w:val="26"/>
          <w:vertAlign w:val="superscript"/>
          <w:lang w:val="en-US"/>
        </w:rPr>
        <w:t xml:space="preserve">3</w:t>
      </w:r>
      <w:r>
        <w:rPr>
          <w:rFonts w:ascii="Arial" w:hAnsi="Arial" w:eastAsia="Arial"/>
          <w:color w:val="000000"/>
          <w:spacing w:val="0"/>
          <w:w w:val="100"/>
          <w:sz w:val="16"/>
          <w:vertAlign w:val="baseline"/>
          <w:lang w:val="en-US"/>
        </w:rPr>
        <w:t xml:space="preserve">
</w:t>
      </w:r>
    </w:p>
    <w:p>
      <w:pPr>
        <w:pageBreakBefore w:val="false"/>
        <w:spacing w:before="308" w:after="435" w:line="293" w:lineRule="exact"/>
        <w:ind w:right="0" w:left="0" w:firstLine="720"/>
        <w:jc w:val="both"/>
        <w:textAlignment w:val="baseline"/>
        <w:rPr>
          <w:rFonts w:ascii="Arial" w:hAnsi="Arial" w:eastAsia="Arial"/>
          <w:color w:val="000000"/>
          <w:spacing w:val="-4"/>
          <w:w w:val="100"/>
          <w:sz w:val="26"/>
          <w:vertAlign w:val="baseline"/>
          <w:lang w:val="en-US"/>
        </w:rPr>
      </w:pPr>
      <w:r>
        <w:rPr>
          <w:rFonts w:ascii="Arial" w:hAnsi="Arial" w:eastAsia="Arial"/>
          <w:color w:val="000000"/>
          <w:spacing w:val="-4"/>
          <w:w w:val="100"/>
          <w:sz w:val="26"/>
          <w:vertAlign w:val="baseline"/>
          <w:lang w:val="en-US"/>
        </w:rPr>
        <w:t xml:space="preserve">INTENT means conscious objective or purpose. Thus, a person acts with INTENT to harass, annoy or alarm a specific person when his</w:t>
      </w:r>
    </w:p>
    <w:p>
      <w:pPr>
        <w:pageBreakBefore w:val="false"/>
        <w:spacing w:before="250" w:after="0" w:line="277" w:lineRule="exact"/>
        <w:ind w:right="0" w:left="0" w:firstLine="36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color w:val="000000"/>
          <w:spacing w:val="0"/>
          <w:w w:val="100"/>
          <w:sz w:val="24"/>
          <w:vertAlign w:val="baseline"/>
          <w:lang w:val="en-US"/>
        </w:rPr>
        <w:t xml:space="preserve"> If in issue, the definition of the term or terms: "physical injury [Penal Law § 10.00(9)," "serious physical injury [Penal Law § 10.00(10)," "sex offense [Penal Law § 120.40(3)]," "kidnapping [Penal Law § 120.40(1)," or "unlawful imprisonment [Penal Law § 120.40(2)," may be charged.</w:t>
      </w:r>
    </w:p>
    <w:p>
      <w:pPr>
        <w:pageBreakBefore w:val="false"/>
        <w:spacing w:before="273" w:after="0" w:line="277" w:lineRule="exact"/>
        <w:ind w:right="0" w:left="0" w:firstLine="72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Similarly, a definition of a number of the weapons set forth in the defintion of this crime may be found in Penal Law § 265.00 and the applicable definition should be charged to the jury.</w:t>
      </w:r>
    </w:p>
    <w:p>
      <w:pPr>
        <w:pageBreakBefore w:val="false"/>
        <w:spacing w:before="269" w:after="0" w:line="277" w:lineRule="exact"/>
        <w:ind w:right="0" w:left="0" w:firstLine="72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 definition of two of the more commonly charged weapons (“dangerous weapon,” and “deadly weapon”) which are not defined in Penal Law § 265.00 are set forth in this charge. And the definition of “deadly weapon” incorporates some of the weapons and their definition that are separately listed in the definition of this crime and thus if one of those weapons is in issue, its definition may be extracted from the definition of “deadly weapon” and charged to the jury.</w:t>
      </w:r>
    </w:p>
    <w:p>
      <w:pPr>
        <w:pageBreakBefore w:val="false"/>
        <w:spacing w:before="283" w:after="0" w:line="277" w:lineRule="exact"/>
        <w:ind w:right="0" w:left="0" w:firstLine="72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There is no statutory definition of the term "course of conduct." </w:t>
      </w:r>
      <w:r>
        <w:rPr>
          <w:rFonts w:ascii="Arial" w:hAnsi="Arial" w:eastAsia="Arial"/>
          <w:i w:val="true"/>
          <w:color w:val="000000"/>
          <w:spacing w:val="0"/>
          <w:w w:val="100"/>
          <w:sz w:val="24"/>
          <w:vertAlign w:val="baseline"/>
          <w:lang w:val="en-US"/>
        </w:rPr>
        <w:t xml:space="preserve">People v Dickson</w:t>
      </w:r>
      <w:r>
        <w:rPr>
          <w:rFonts w:ascii="Arial" w:hAnsi="Arial" w:eastAsia="Arial"/>
          <w:color w:val="000000"/>
          <w:spacing w:val="0"/>
          <w:w w:val="100"/>
          <w:sz w:val="24"/>
          <w:vertAlign w:val="baseline"/>
          <w:lang w:val="en-US"/>
        </w:rPr>
        <w:t xml:space="preserve">, 82 AD3d1289, 1291 (3d Dept. 2011) held that it was not error to decline to define the term. </w:t>
      </w:r>
      <w:r>
        <w:rPr>
          <w:rFonts w:ascii="Arial" w:hAnsi="Arial" w:eastAsia="Arial"/>
          <w:i w:val="true"/>
          <w:color w:val="000000"/>
          <w:spacing w:val="0"/>
          <w:w w:val="100"/>
          <w:sz w:val="24"/>
          <w:vertAlign w:val="baseline"/>
          <w:lang w:val="en-US"/>
        </w:rPr>
        <w:t xml:space="preserve">People v. Ubbink</w:t>
      </w:r>
      <w:r>
        <w:rPr>
          <w:rFonts w:ascii="Arial" w:hAnsi="Arial" w:eastAsia="Arial"/>
          <w:color w:val="000000"/>
          <w:spacing w:val="0"/>
          <w:w w:val="100"/>
          <w:sz w:val="24"/>
          <w:vertAlign w:val="baseline"/>
          <w:lang w:val="en-US"/>
        </w:rPr>
        <w:t xml:space="preserve">, 120 AD3d 1574, 1575-76 (4th Dept. 2014), noted that "course of conduct" has been defined as "a series of acts ‘evidencing a continuity of purpose'" (quoting People v Payton, 161 Misc 2d 170, 174 (Crim Ct., Kings County, 1994). See also </w:t>
      </w:r>
      <w:r>
        <w:rPr>
          <w:rFonts w:ascii="Arial" w:hAnsi="Arial" w:eastAsia="Arial"/>
          <w:i w:val="true"/>
          <w:color w:val="000000"/>
          <w:spacing w:val="0"/>
          <w:w w:val="100"/>
          <w:sz w:val="24"/>
          <w:vertAlign w:val="baseline"/>
          <w:lang w:val="en-US"/>
        </w:rPr>
        <w:t xml:space="preserve">People v Murray</w:t>
      </w:r>
      <w:r>
        <w:rPr>
          <w:rFonts w:ascii="Arial" w:hAnsi="Arial" w:eastAsia="Arial"/>
          <w:color w:val="000000"/>
          <w:spacing w:val="0"/>
          <w:w w:val="100"/>
          <w:sz w:val="24"/>
          <w:vertAlign w:val="baseline"/>
          <w:lang w:val="en-US"/>
        </w:rPr>
        <w:t xml:space="preserve">, 167 Misc2d 857 (Crim. Ct., N.Y. County, 1995); </w:t>
      </w:r>
      <w:r>
        <w:rPr>
          <w:rFonts w:ascii="Arial" w:hAnsi="Arial" w:eastAsia="Arial"/>
          <w:i w:val="true"/>
          <w:color w:val="000000"/>
          <w:spacing w:val="0"/>
          <w:w w:val="100"/>
          <w:sz w:val="24"/>
          <w:vertAlign w:val="baseline"/>
          <w:lang w:val="en-US"/>
        </w:rPr>
        <w:t xml:space="preserve">People v Monroe</w:t>
      </w:r>
      <w:r>
        <w:rPr>
          <w:rFonts w:ascii="Arial" w:hAnsi="Arial" w:eastAsia="Arial"/>
          <w:color w:val="000000"/>
          <w:spacing w:val="0"/>
          <w:w w:val="100"/>
          <w:sz w:val="24"/>
          <w:vertAlign w:val="baseline"/>
          <w:lang w:val="en-US"/>
        </w:rPr>
        <w:t xml:space="preserve">, 183 Misc2d 374 (Crim. Ct., N.Y. County, 2000). For an example of facts constituting a "course of conduct" </w:t>
      </w:r>
      <w:r>
        <w:rPr>
          <w:rFonts w:ascii="Arial" w:hAnsi="Arial" w:eastAsia="Arial"/>
          <w:i w:val="true"/>
          <w:color w:val="000000"/>
          <w:spacing w:val="0"/>
          <w:w w:val="100"/>
          <w:sz w:val="24"/>
          <w:vertAlign w:val="baseline"/>
          <w:lang w:val="en-US"/>
        </w:rPr>
        <w:t xml:space="preserve">see People v Stuart</w:t>
      </w:r>
      <w:r>
        <w:rPr>
          <w:rFonts w:ascii="Arial" w:hAnsi="Arial" w:eastAsia="Arial"/>
          <w:color w:val="000000"/>
          <w:spacing w:val="0"/>
          <w:w w:val="100"/>
          <w:sz w:val="24"/>
          <w:vertAlign w:val="baseline"/>
          <w:lang w:val="en-US"/>
        </w:rPr>
        <w:t xml:space="preserve">, 100 NY2d 412 (2003).</w:t>
      </w:r>
    </w:p>
    <w:p>
      <w:pPr>
        <w:pageBreakBefore w:val="false"/>
        <w:spacing w:before="273" w:after="0" w:line="277" w:lineRule="exact"/>
        <w:ind w:right="0" w:left="0" w:firstLine="72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With respect to "reasonable fear," the court in </w:t>
      </w:r>
      <w:r>
        <w:rPr>
          <w:rFonts w:ascii="Arial" w:hAnsi="Arial" w:eastAsia="Arial"/>
          <w:i w:val="true"/>
          <w:color w:val="000000"/>
          <w:spacing w:val="0"/>
          <w:w w:val="100"/>
          <w:sz w:val="24"/>
          <w:vertAlign w:val="baseline"/>
          <w:lang w:val="en-US"/>
        </w:rPr>
        <w:t xml:space="preserve">Stuart </w:t>
      </w:r>
      <w:r>
        <w:rPr>
          <w:rFonts w:ascii="Arial" w:hAnsi="Arial" w:eastAsia="Arial"/>
          <w:color w:val="000000"/>
          <w:spacing w:val="0"/>
          <w:w w:val="100"/>
          <w:sz w:val="24"/>
          <w:vertAlign w:val="baseline"/>
          <w:lang w:val="en-US"/>
        </w:rPr>
        <w:t xml:space="preserve">wrote: "the fear must be reasonable and not idiosyncratic; the harm (or likely harm) must be material."</w:t>
      </w:r>
    </w:p>
    <w:p>
      <w:pPr>
        <w:sectPr>
          <w:footerReference w:type="default" r:id="fId0"/>
          <w:type w:val="nextPage"/>
          <w:pgSz w:w="12240" w:h="15840" w:orient="portrait"/>
          <w:pgMar w:bottom="970" w:top="1080" w:right="2143" w:left="2157" w:header="720" w:footer="1127"/>
          <w:titlePg w:val="false"/>
          <w:textDirection w:val="lrTb"/>
        </w:sectPr>
      </w:pPr>
    </w:p>
    <w:p>
      <w:pPr>
        <w:pageBreakBefore w:val="false"/>
        <w:spacing w:before="33" w:after="0" w:line="302" w:lineRule="exact"/>
        <w:ind w:right="0" w:left="0" w:firstLine="0"/>
        <w:jc w:val="both"/>
        <w:textAlignment w:val="baseline"/>
        <w:rPr>
          <w:rFonts w:ascii="Arial" w:hAnsi="Arial" w:eastAsia="Arial"/>
          <w:color w:val="000000"/>
          <w:spacing w:val="-5"/>
          <w:w w:val="100"/>
          <w:sz w:val="26"/>
          <w:vertAlign w:val="baseline"/>
          <w:lang w:val="en-US"/>
        </w:rPr>
      </w:pPr>
      <w:r>
        <w:pict>
          <v:line strokeweight="1.2pt" strokecolor="#000000" from="107.85pt,502.55pt" to="252.05pt,502.55pt" style="position:absolute;mso-position-horizontal-relative:page;mso-position-vertical-relative:page;">
            <v:stroke dashstyle="solid"/>
          </v:line>
        </w:pict>
      </w:r>
      <w:r>
        <w:rPr>
          <w:rFonts w:ascii="Arial" w:hAnsi="Arial" w:eastAsia="Arial"/>
          <w:color w:val="000000"/>
          <w:spacing w:val="-5"/>
          <w:w w:val="100"/>
          <w:sz w:val="26"/>
          <w:vertAlign w:val="baseline"/>
          <w:lang w:val="en-US"/>
        </w:rPr>
        <w:t xml:space="preserve">or her conscious objective or purpose is to do so.</w:t>
      </w:r>
      <w:r>
        <w:rPr>
          <w:rFonts w:ascii="Arial" w:hAnsi="Arial" w:eastAsia="Arial"/>
          <w:color w:val="000000"/>
          <w:spacing w:val="-5"/>
          <w:w w:val="100"/>
          <w:sz w:val="26"/>
          <w:vertAlign w:val="superscript"/>
          <w:lang w:val="en-US"/>
        </w:rPr>
        <w:t xml:space="preserve">4</w:t>
      </w:r>
      <w:r>
        <w:rPr>
          <w:rFonts w:ascii="Arial" w:hAnsi="Arial" w:eastAsia="Arial"/>
          <w:color w:val="000000"/>
          <w:spacing w:val="-5"/>
          <w:w w:val="100"/>
          <w:sz w:val="26"/>
          <w:vertAlign w:val="baseline"/>
          <w:lang w:val="en-US"/>
        </w:rPr>
        <w:t xml:space="preserve"> And, a person INTENTIONALLY engages in a course of conduct directed at a specific person when his or her conscious objective or purpose is to do so.</w:t>
      </w:r>
      <w:r>
        <w:rPr>
          <w:rFonts w:ascii="Arial" w:hAnsi="Arial" w:eastAsia="Arial"/>
          <w:color w:val="000000"/>
          <w:spacing w:val="-5"/>
          <w:w w:val="100"/>
          <w:sz w:val="26"/>
          <w:vertAlign w:val="superscript"/>
          <w:lang w:val="en-US"/>
        </w:rPr>
        <w:t xml:space="preserve">5</w:t>
      </w:r>
      <w:r>
        <w:rPr>
          <w:rFonts w:ascii="Arial" w:hAnsi="Arial" w:eastAsia="Arial"/>
          <w:color w:val="000000"/>
          <w:spacing w:val="-5"/>
          <w:w w:val="100"/>
          <w:sz w:val="16"/>
          <w:vertAlign w:val="baseline"/>
          <w:lang w:val="en-US"/>
        </w:rPr>
        <w:t xml:space="preserve">
</w:t>
      </w:r>
    </w:p>
    <w:p>
      <w:pPr>
        <w:pageBreakBefore w:val="false"/>
        <w:spacing w:before="305" w:after="0" w:line="293" w:lineRule="exact"/>
        <w:ind w:right="0" w:left="0" w:firstLine="720"/>
        <w:jc w:val="both"/>
        <w:textAlignment w:val="baseline"/>
        <w:rPr>
          <w:rFonts w:ascii="Arial" w:hAnsi="Arial" w:eastAsia="Arial"/>
          <w:color w:val="000000"/>
          <w:spacing w:val="-4"/>
          <w:w w:val="100"/>
          <w:sz w:val="26"/>
          <w:vertAlign w:val="baseline"/>
          <w:lang w:val="en-US"/>
        </w:rPr>
      </w:pPr>
      <w:r>
        <w:rPr>
          <w:rFonts w:ascii="Arial" w:hAnsi="Arial" w:eastAsia="Arial"/>
          <w:color w:val="000000"/>
          <w:spacing w:val="-4"/>
          <w:w w:val="100"/>
          <w:sz w:val="26"/>
          <w:vertAlign w:val="baseline"/>
          <w:lang w:val="en-US"/>
        </w:rPr>
        <w:t xml:space="preserve">[IMMEDIATE FAMILY means the spouse, former spouse, parent, child, sibling, or any other person who regularly resides or has regularly resided in the household of a person.</w:t>
      </w:r>
      <w:r>
        <w:rPr>
          <w:rFonts w:ascii="Arial" w:hAnsi="Arial" w:eastAsia="Arial"/>
          <w:color w:val="000000"/>
          <w:spacing w:val="-4"/>
          <w:w w:val="100"/>
          <w:sz w:val="26"/>
          <w:vertAlign w:val="superscript"/>
          <w:lang w:val="en-US"/>
        </w:rPr>
        <w:t xml:space="preserve">6</w:t>
      </w:r>
      <w:r>
        <w:rPr>
          <w:rFonts w:ascii="Arial" w:hAnsi="Arial" w:eastAsia="Arial"/>
          <w:color w:val="000000"/>
          <w:spacing w:val="-4"/>
          <w:w w:val="100"/>
          <w:sz w:val="26"/>
          <w:vertAlign w:val="baseline"/>
          <w:lang w:val="en-US"/>
        </w:rPr>
        <w:t xml:space="preserve">]</w:t>
      </w:r>
    </w:p>
    <w:p>
      <w:pPr>
        <w:pageBreakBefore w:val="false"/>
        <w:spacing w:before="315" w:after="0" w:line="289"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POSSESS means to have physical possession or otherwise to exercise dominion or control over tangible property.</w:t>
      </w:r>
      <w:r>
        <w:rPr>
          <w:rFonts w:ascii="Arial" w:hAnsi="Arial" w:eastAsia="Arial"/>
          <w:color w:val="000000"/>
          <w:spacing w:val="0"/>
          <w:w w:val="100"/>
          <w:sz w:val="26"/>
          <w:vertAlign w:val="superscript"/>
          <w:lang w:val="en-US"/>
        </w:rPr>
        <w:t xml:space="preserve">7</w:t>
      </w:r>
      <w:r>
        <w:rPr>
          <w:rFonts w:ascii="Arial" w:hAnsi="Arial" w:eastAsia="Arial"/>
          <w:color w:val="000000"/>
          <w:spacing w:val="0"/>
          <w:w w:val="100"/>
          <w:sz w:val="16"/>
          <w:vertAlign w:val="baseline"/>
          <w:lang w:val="en-US"/>
        </w:rPr>
        <w:t xml:space="preserve">
</w:t>
      </w:r>
    </w:p>
    <w:p>
      <w:pPr>
        <w:pageBreakBefore w:val="false"/>
        <w:spacing w:before="271" w:after="0" w:line="302"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[DANGEROUS INSTRUMENT means any instrument, article or substance, including a “vehicle”</w:t>
      </w:r>
      <w:r>
        <w:rPr>
          <w:rFonts w:ascii="Arial" w:hAnsi="Arial" w:eastAsia="Arial"/>
          <w:color w:val="000000"/>
          <w:spacing w:val="0"/>
          <w:w w:val="100"/>
          <w:sz w:val="26"/>
          <w:vertAlign w:val="superscript"/>
          <w:lang w:val="en-US"/>
        </w:rPr>
        <w:t xml:space="preserve">8</w:t>
      </w:r>
      <w:r>
        <w:rPr>
          <w:rFonts w:ascii="Arial" w:hAnsi="Arial" w:eastAsia="Arial"/>
          <w:color w:val="000000"/>
          <w:spacing w:val="0"/>
          <w:w w:val="100"/>
          <w:sz w:val="26"/>
          <w:vertAlign w:val="baseline"/>
          <w:lang w:val="en-US"/>
        </w:rPr>
        <w:t xml:space="preserve"> which, under the circumstances in which it is used, attempted to be used or threatened to be used, is readily capable of causing death or other serious physical injury,</w:t>
      </w:r>
      <w:r>
        <w:rPr>
          <w:rFonts w:ascii="Arial" w:hAnsi="Arial" w:eastAsia="Arial"/>
          <w:color w:val="000000"/>
          <w:spacing w:val="0"/>
          <w:w w:val="100"/>
          <w:sz w:val="26"/>
          <w:vertAlign w:val="superscript"/>
          <w:lang w:val="en-US"/>
        </w:rPr>
        <w:t xml:space="preserve">9</w:t>
      </w:r>
      <w:r>
        <w:rPr>
          <w:rFonts w:ascii="Arial" w:hAnsi="Arial" w:eastAsia="Arial"/>
          <w:color w:val="000000"/>
          <w:spacing w:val="0"/>
          <w:w w:val="100"/>
          <w:sz w:val="26"/>
          <w:vertAlign w:val="baseline"/>
          <w:lang w:val="en-US"/>
        </w:rPr>
        <w:t xml:space="preserve"> that is, serious and protracted disfigurement, protracted impairment of health or protracted loss or impairment of the function of any bodily organ.</w:t>
      </w:r>
      <w:r>
        <w:rPr>
          <w:rFonts w:ascii="Arial" w:hAnsi="Arial" w:eastAsia="Arial"/>
          <w:color w:val="000000"/>
          <w:spacing w:val="0"/>
          <w:w w:val="100"/>
          <w:sz w:val="26"/>
          <w:vertAlign w:val="superscript"/>
          <w:lang w:val="en-US"/>
        </w:rPr>
        <w:t xml:space="preserve">10</w:t>
      </w:r>
      <w:r>
        <w:rPr>
          <w:rFonts w:ascii="Arial" w:hAnsi="Arial" w:eastAsia="Arial"/>
          <w:color w:val="000000"/>
          <w:spacing w:val="0"/>
          <w:w w:val="100"/>
          <w:sz w:val="26"/>
          <w:vertAlign w:val="baseline"/>
          <w:lang w:val="en-US"/>
        </w:rPr>
        <w:t xml:space="preserve"> Under that definition, death or other serious physical injury need not, in fact, be caused.]</w:t>
      </w:r>
    </w:p>
    <w:p>
      <w:pPr>
        <w:pageBreakBefore w:val="false"/>
        <w:spacing w:before="0" w:after="0" w:line="595" w:lineRule="exact"/>
        <w:ind w:right="0" w:left="0" w:firstLine="72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[DEADLY WEAPON means</w:t>
        <w:br/>
      </w:r>
      <w:r>
        <w:rPr>
          <w:rFonts w:ascii="Arial" w:hAnsi="Arial" w:eastAsia="Arial"/>
          <w:i w:val="true"/>
          <w:color w:val="000000"/>
          <w:spacing w:val="0"/>
          <w:w w:val="100"/>
          <w:sz w:val="26"/>
          <w:u w:val="single"/>
          <w:vertAlign w:val="baseline"/>
          <w:lang w:val="en-US"/>
        </w:rPr>
        <w:t xml:space="preserve">Select appropriate alternative:</w:t>
      </w:r>
    </w:p>
    <w:p>
      <w:pPr>
        <w:pageBreakBefore w:val="false"/>
        <w:spacing w:before="288" w:after="0" w:line="302" w:lineRule="exact"/>
        <w:ind w:right="0" w:left="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any loaded weapon from which a shot, readily capable of producing death or other serious physical injury, may be discharged.</w:t>
      </w:r>
    </w:p>
    <w:p>
      <w:pPr>
        <w:pageBreakBefore w:val="false"/>
        <w:spacing w:before="289" w:after="317" w:line="302" w:lineRule="exact"/>
        <w:ind w:right="0" w:left="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 switchblade knife defined as any knife having a blade which opens automatically by hand pressure applied to a button, spring or other</w:t>
      </w:r>
    </w:p>
    <w:p>
      <w:pPr>
        <w:pageBreakBefore w:val="false"/>
        <w:spacing w:before="15" w:after="0" w:line="518" w:lineRule="exact"/>
        <w:ind w:right="0" w:left="288"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4</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§15.05(1).</w:t>
        <w:br/>
      </w:r>
      <w:r>
        <w:rPr>
          <w:rFonts w:ascii="Arial" w:hAnsi="Arial" w:eastAsia="Arial"/>
          <w:color w:val="000000"/>
          <w:spacing w:val="0"/>
          <w:w w:val="100"/>
          <w:sz w:val="14"/>
          <w:vertAlign w:val="superscript"/>
          <w:lang w:val="en-US"/>
        </w:rPr>
        <w:t xml:space="preserve">5</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§15.05(1).</w:t>
        <w:br/>
      </w:r>
      <w:r>
        <w:rPr>
          <w:rFonts w:ascii="Arial" w:hAnsi="Arial" w:eastAsia="Arial"/>
          <w:color w:val="000000"/>
          <w:spacing w:val="0"/>
          <w:w w:val="100"/>
          <w:sz w:val="14"/>
          <w:vertAlign w:val="superscript"/>
          <w:lang w:val="en-US"/>
        </w:rPr>
        <w:t xml:space="preserve">6</w:t>
      </w:r>
      <w:r>
        <w:rPr>
          <w:rFonts w:ascii="Arial" w:hAnsi="Arial" w:eastAsia="Arial"/>
          <w:color w:val="000000"/>
          <w:spacing w:val="0"/>
          <w:w w:val="100"/>
          <w:sz w:val="24"/>
          <w:vertAlign w:val="baseline"/>
          <w:lang w:val="en-US"/>
        </w:rPr>
        <w:t xml:space="preserve">Penal Law §120.40(4).</w:t>
      </w:r>
    </w:p>
    <w:p>
      <w:pPr>
        <w:pageBreakBefore w:val="false"/>
        <w:spacing w:before="248" w:after="0" w:line="276" w:lineRule="exact"/>
        <w:ind w:right="0" w:left="0" w:firstLine="288"/>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7</w:t>
      </w:r>
      <w:r>
        <w:rPr>
          <w:rFonts w:ascii="Arial" w:hAnsi="Arial" w:eastAsia="Arial"/>
          <w:color w:val="000000"/>
          <w:spacing w:val="0"/>
          <w:w w:val="100"/>
          <w:sz w:val="24"/>
          <w:vertAlign w:val="baseline"/>
          <w:lang w:val="en-US"/>
        </w:rPr>
        <w:t xml:space="preserve">Penal Law §10.00(8). Where constructive possession is alleged, insert the appropriate instruction as found in the Additional Charges to Penal Law article 265.</w:t>
      </w:r>
    </w:p>
    <w:p>
      <w:pPr>
        <w:pageBreakBefore w:val="false"/>
        <w:spacing w:before="235" w:after="0" w:line="276" w:lineRule="exact"/>
        <w:ind w:right="0" w:left="288"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8</w:t>
      </w:r>
      <w:r>
        <w:rPr>
          <w:rFonts w:ascii="Arial" w:hAnsi="Arial" w:eastAsia="Arial"/>
          <w:color w:val="000000"/>
          <w:spacing w:val="0"/>
          <w:w w:val="100"/>
          <w:sz w:val="24"/>
          <w:vertAlign w:val="baseline"/>
          <w:lang w:val="en-US"/>
        </w:rPr>
        <w:t xml:space="preserve">For a definition of “vehicle”, see Penal Law §10.00(14).</w:t>
      </w:r>
    </w:p>
    <w:p>
      <w:pPr>
        <w:pageBreakBefore w:val="false"/>
        <w:spacing w:before="235" w:after="0" w:line="276" w:lineRule="exact"/>
        <w:ind w:right="0" w:left="288"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9</w:t>
      </w:r>
      <w:r>
        <w:rPr>
          <w:rFonts w:ascii="Arial" w:hAnsi="Arial" w:eastAsia="Arial"/>
          <w:color w:val="000000"/>
          <w:spacing w:val="0"/>
          <w:w w:val="100"/>
          <w:sz w:val="24"/>
          <w:vertAlign w:val="baseline"/>
          <w:lang w:val="en-US"/>
        </w:rPr>
        <w:t xml:space="preserve">Penal Law §10.00(13).</w:t>
      </w:r>
    </w:p>
    <w:p>
      <w:pPr>
        <w:pageBreakBefore w:val="false"/>
        <w:spacing w:before="242" w:after="0" w:line="276" w:lineRule="exact"/>
        <w:ind w:right="0" w:left="288" w:firstLine="0"/>
        <w:jc w:val="left"/>
        <w:textAlignment w:val="baseline"/>
        <w:rPr>
          <w:rFonts w:ascii="Arial" w:hAnsi="Arial" w:eastAsia="Arial"/>
          <w:color w:val="000000"/>
          <w:spacing w:val="-1"/>
          <w:w w:val="100"/>
          <w:sz w:val="14"/>
          <w:vertAlign w:val="superscript"/>
          <w:lang w:val="en-US"/>
        </w:rPr>
      </w:pPr>
      <w:r>
        <w:rPr>
          <w:rFonts w:ascii="Arial" w:hAnsi="Arial" w:eastAsia="Arial"/>
          <w:color w:val="000000"/>
          <w:spacing w:val="-1"/>
          <w:w w:val="100"/>
          <w:sz w:val="14"/>
          <w:vertAlign w:val="superscript"/>
          <w:lang w:val="en-US"/>
        </w:rPr>
        <w:t xml:space="preserve">6</w:t>
      </w:r>
      <w:r>
        <w:rPr>
          <w:rFonts w:ascii="Arial" w:hAnsi="Arial" w:eastAsia="Arial"/>
          <w:color w:val="000000"/>
          <w:spacing w:val="-1"/>
          <w:w w:val="100"/>
          <w:sz w:val="24"/>
          <w:vertAlign w:val="baseline"/>
          <w:lang w:val="en-US"/>
        </w:rPr>
        <w:t xml:space="preserve"> Penal Law § 10.00(10).</w:t>
      </w:r>
    </w:p>
    <w:p>
      <w:pPr>
        <w:sectPr>
          <w:type w:val="nextPage"/>
          <w:pgSz w:w="12240" w:h="15840" w:orient="portrait"/>
          <w:pgMar w:bottom="978" w:top="1040" w:right="2143" w:left="2157" w:header="720" w:footer="1123"/>
          <w:titlePg w:val="false"/>
          <w:textDirection w:val="lrTb"/>
        </w:sectPr>
      </w:pPr>
    </w:p>
    <w:p>
      <w:pPr>
        <w:pageBreakBefore w:val="false"/>
        <w:spacing w:before="12" w:after="0" w:line="293" w:lineRule="exact"/>
        <w:ind w:right="0" w:left="0" w:firstLine="0"/>
        <w:jc w:val="left"/>
        <w:textAlignment w:val="baseline"/>
        <w:rPr>
          <w:rFonts w:ascii="Arial" w:hAnsi="Arial" w:eastAsia="Arial"/>
          <w:color w:val="000000"/>
          <w:spacing w:val="-1"/>
          <w:w w:val="100"/>
          <w:sz w:val="26"/>
          <w:vertAlign w:val="baseline"/>
          <w:lang w:val="en-US"/>
        </w:rPr>
      </w:pPr>
      <w:r>
        <w:pict>
          <v:line strokeweight="1.2pt" strokecolor="#000000" from="107.75pt,546.95pt" to="252.05pt,546.95pt" style="position:absolute;mso-position-horizontal-relative:page;mso-position-vertical-relative:page;">
            <v:stroke dashstyle="solid"/>
          </v:line>
        </w:pict>
      </w:r>
      <w:r>
        <w:rPr>
          <w:rFonts w:ascii="Arial" w:hAnsi="Arial" w:eastAsia="Arial"/>
          <w:color w:val="000000"/>
          <w:spacing w:val="-1"/>
          <w:w w:val="100"/>
          <w:sz w:val="26"/>
          <w:vertAlign w:val="baseline"/>
          <w:lang w:val="en-US"/>
        </w:rPr>
        <w:t xml:space="preserve">device in the handle of the knife.</w:t>
      </w:r>
    </w:p>
    <w:p>
      <w:pPr>
        <w:pageBreakBefore w:val="false"/>
        <w:spacing w:before="299" w:after="0" w:line="297" w:lineRule="exact"/>
        <w:ind w:right="0" w:left="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 pilum ballistic knife defined as any knife having a blade which can be projected from the handle by hand pressure applied to a button, lever, spring or other device in the handle of the knife.</w:t>
      </w:r>
    </w:p>
    <w:p>
      <w:pPr>
        <w:pageBreakBefore w:val="false"/>
        <w:spacing w:before="295" w:after="0" w:line="297" w:lineRule="exact"/>
        <w:ind w:right="0" w:left="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 metal knuckle knife, defined as a weapon that, when closed, cannot function as a set of plastic knuckles or metal knuckles, nor as a knife and when open, can function as both a set of plastic knuckles or metal knuckles as well as a knife.</w:t>
      </w:r>
    </w:p>
    <w:p>
      <w:pPr>
        <w:pageBreakBefore w:val="false"/>
        <w:spacing w:before="302" w:after="0" w:line="298" w:lineRule="exact"/>
        <w:ind w:right="0" w:left="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metal knuckles, defined as a metal object with multiple holes, through which individual places his or her fingers so that a metal bar rests atop the individual's knuckles.</w:t>
      </w:r>
    </w:p>
    <w:p>
      <w:pPr>
        <w:pageBreakBefore w:val="false"/>
        <w:spacing w:before="300" w:after="0" w:line="297" w:lineRule="exact"/>
        <w:ind w:right="0" w:left="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 billy, defined as a cylindrical or rounded, rigid, club or baton with a handle grip which, from its appearance and inherent characteristics, is designed to be used as a striking weapon and not for other lawful purposes.</w:t>
      </w:r>
    </w:p>
    <w:p>
      <w:pPr>
        <w:pageBreakBefore w:val="false"/>
        <w:spacing w:before="297" w:after="0" w:line="293" w:lineRule="exact"/>
        <w:ind w:right="0" w:left="0" w:firstLine="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 dagger</w:t>
      </w:r>
    </w:p>
    <w:p>
      <w:pPr>
        <w:pageBreakBefore w:val="false"/>
        <w:spacing w:before="307" w:after="0" w:line="293" w:lineRule="exact"/>
        <w:ind w:right="0" w:left="0" w:firstLine="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a blackjack</w:t>
      </w:r>
    </w:p>
    <w:p>
      <w:pPr>
        <w:pageBreakBefore w:val="false"/>
        <w:spacing w:before="285" w:after="0" w:line="298" w:lineRule="exact"/>
        <w:ind w:right="0" w:left="0" w:firstLine="0"/>
        <w:jc w:val="left"/>
        <w:textAlignment w:val="baseline"/>
        <w:rPr>
          <w:rFonts w:ascii="Arial" w:hAnsi="Arial" w:eastAsia="Arial"/>
          <w:color w:val="000000"/>
          <w:spacing w:val="-7"/>
          <w:w w:val="100"/>
          <w:sz w:val="26"/>
          <w:vertAlign w:val="baseline"/>
          <w:lang w:val="en-US"/>
        </w:rPr>
      </w:pPr>
      <w:r>
        <w:rPr>
          <w:rFonts w:ascii="Arial" w:hAnsi="Arial" w:eastAsia="Arial"/>
          <w:color w:val="000000"/>
          <w:spacing w:val="-7"/>
          <w:w w:val="100"/>
          <w:sz w:val="26"/>
          <w:vertAlign w:val="baseline"/>
          <w:lang w:val="en-US"/>
        </w:rPr>
        <w:t xml:space="preserve">plastic knuckles.] </w:t>
      </w:r>
      <w:r>
        <w:rPr>
          <w:rFonts w:ascii="Arial" w:hAnsi="Arial" w:eastAsia="Arial"/>
          <w:color w:val="000000"/>
          <w:spacing w:val="-7"/>
          <w:w w:val="100"/>
          <w:sz w:val="26"/>
          <w:vertAlign w:val="superscript"/>
          <w:lang w:val="en-US"/>
        </w:rPr>
        <w:t xml:space="preserve">11</w:t>
      </w:r>
      <w:r>
        <w:rPr>
          <w:rFonts w:ascii="Arial" w:hAnsi="Arial" w:eastAsia="Arial"/>
          <w:color w:val="000000"/>
          <w:spacing w:val="-7"/>
          <w:w w:val="100"/>
          <w:sz w:val="16"/>
          <w:vertAlign w:val="baseline"/>
          <w:lang w:val="en-US"/>
        </w:rPr>
        <w:t xml:space="preserve">
</w:t>
      </w:r>
    </w:p>
    <w:p>
      <w:pPr>
        <w:pageBreakBefore w:val="false"/>
        <w:spacing w:before="315" w:after="309" w:line="296" w:lineRule="exact"/>
        <w:ind w:right="0" w:left="0" w:firstLine="720"/>
        <w:jc w:val="both"/>
        <w:textAlignment w:val="baseline"/>
        <w:rPr>
          <w:rFonts w:ascii="Arial" w:hAnsi="Arial" w:eastAsia="Arial"/>
          <w:color w:val="000000"/>
          <w:spacing w:val="-4"/>
          <w:w w:val="100"/>
          <w:sz w:val="26"/>
          <w:vertAlign w:val="baseline"/>
          <w:lang w:val="en-US"/>
        </w:rPr>
      </w:pPr>
      <w:r>
        <w:rPr>
          <w:rFonts w:ascii="Arial" w:hAnsi="Arial" w:eastAsia="Arial"/>
          <w:color w:val="000000"/>
          <w:spacing w:val="-4"/>
          <w:w w:val="100"/>
          <w:sz w:val="26"/>
          <w:vertAlign w:val="baseline"/>
          <w:lang w:val="en-US"/>
        </w:rPr>
        <w:t xml:space="preserve">[The element that the person “DISPLAY WHAT APPEARS TO BE A PISTOL, REVOLVER, RIFLE, SHOTGUN, MACHINE GUN OR OTHER FIREARM” does not require the People to prove that the object displayed was actually a firearm. What the People are required to prove is that the person consciously displayed, or manifested the presence of, something that could reasonably be perceived as a pistol,</w:t>
      </w:r>
    </w:p>
    <w:p>
      <w:pPr>
        <w:pageBreakBefore w:val="false"/>
        <w:tabs>
          <w:tab w:val="right" w:leader="none" w:pos="7920"/>
        </w:tabs>
        <w:spacing w:before="255" w:after="0" w:line="277" w:lineRule="exact"/>
        <w:ind w:right="0" w:left="0" w:firstLine="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10</w:t>
      </w:r>
      <w:r>
        <w:rPr>
          <w:rFonts w:ascii="Arial" w:hAnsi="Arial" w:eastAsia="Arial"/>
          <w:color w:val="000000"/>
          <w:spacing w:val="0"/>
          <w:w w:val="100"/>
          <w:sz w:val="24"/>
          <w:vertAlign w:val="baseline"/>
          <w:lang w:val="en-US"/>
        </w:rPr>
        <w:tab/>
      </w:r>
      <w:r>
        <w:rPr>
          <w:rFonts w:ascii="Arial" w:hAnsi="Arial" w:eastAsia="Arial"/>
          <w:color w:val="000000"/>
          <w:spacing w:val="0"/>
          <w:w w:val="100"/>
          <w:sz w:val="24"/>
          <w:vertAlign w:val="baseline"/>
          <w:lang w:val="en-US"/>
        </w:rPr>
        <w:t xml:space="preserve">Penal Law § 10.00(12) defines "deadly weapon." See Penal Law §</w:t>
      </w:r>
    </w:p>
    <w:p>
      <w:pPr>
        <w:pageBreakBefore w:val="false"/>
        <w:spacing w:before="3" w:after="0" w:line="277" w:lineRule="exact"/>
        <w:ind w:right="0" w:left="0" w:firstLine="0"/>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265.00 for the definitions of "switchblade knife," "gravity knife," "pilum ballistic knife" and "metal knuckle knife"; </w:t>
      </w:r>
      <w:r>
        <w:rPr>
          <w:rFonts w:ascii="Arial" w:hAnsi="Arial" w:eastAsia="Arial"/>
          <w:i w:val="true"/>
          <w:color w:val="000000"/>
          <w:spacing w:val="0"/>
          <w:w w:val="100"/>
          <w:sz w:val="24"/>
          <w:vertAlign w:val="baseline"/>
          <w:lang w:val="en-US"/>
        </w:rPr>
        <w:t xml:space="preserve">People v. Aragon</w:t>
      </w:r>
      <w:r>
        <w:rPr>
          <w:rFonts w:ascii="Arial" w:hAnsi="Arial" w:eastAsia="Arial"/>
          <w:color w:val="000000"/>
          <w:spacing w:val="0"/>
          <w:w w:val="100"/>
          <w:sz w:val="24"/>
          <w:vertAlign w:val="baseline"/>
          <w:lang w:val="en-US"/>
        </w:rPr>
        <w:t xml:space="preserve">, 28 N.Y.3d 125 (2016) (for the definition of "metal knuckles"); </w:t>
      </w:r>
      <w:r>
        <w:rPr>
          <w:rFonts w:ascii="Arial" w:hAnsi="Arial" w:eastAsia="Arial"/>
          <w:i w:val="true"/>
          <w:color w:val="000000"/>
          <w:spacing w:val="0"/>
          <w:w w:val="100"/>
          <w:sz w:val="24"/>
          <w:vertAlign w:val="baseline"/>
          <w:lang w:val="en-US"/>
        </w:rPr>
        <w:t xml:space="preserve">People v. Ocasio</w:t>
      </w:r>
      <w:r>
        <w:rPr>
          <w:rFonts w:ascii="Arial" w:hAnsi="Arial" w:eastAsia="Arial"/>
          <w:color w:val="000000"/>
          <w:spacing w:val="0"/>
          <w:w w:val="100"/>
          <w:sz w:val="24"/>
          <w:vertAlign w:val="baseline"/>
          <w:lang w:val="en-US"/>
        </w:rPr>
        <w:t xml:space="preserve">, 28 N.Y.3d 178 (2016) (for the definition of "billy").</w:t>
      </w:r>
    </w:p>
    <w:p>
      <w:pPr>
        <w:pageBreakBefore w:val="false"/>
        <w:spacing w:before="0" w:after="0" w:line="276" w:lineRule="exact"/>
        <w:ind w:right="0" w:left="0" w:firstLine="432"/>
        <w:jc w:val="both"/>
        <w:textAlignment w:val="baseline"/>
        <w:rPr>
          <w:rFonts w:ascii="Arial" w:hAnsi="Arial" w:eastAsia="Arial"/>
          <w:color w:val="000000"/>
          <w:spacing w:val="0"/>
          <w:w w:val="100"/>
          <w:sz w:val="24"/>
          <w:vertAlign w:val="baseline"/>
          <w:lang w:val="en-US"/>
        </w:rPr>
      </w:pPr>
      <w:r>
        <w:rPr>
          <w:rFonts w:ascii="Arial" w:hAnsi="Arial" w:eastAsia="Arial"/>
          <w:color w:val="000000"/>
          <w:spacing w:val="0"/>
          <w:w w:val="100"/>
          <w:sz w:val="24"/>
          <w:vertAlign w:val="baseline"/>
          <w:lang w:val="en-US"/>
        </w:rPr>
        <w:t xml:space="preserve">There is no controlling statutory or decisional law definition of "plastic knuckles" albeit the legislative memorandum in support of adding that term equated it with "brass [metal] knuckles"; thus, for the definition of "plastic knuckles," a court may wish to consider using the definition of "metal knuckles," substituting "plastic object" for "metal object" and "plastic bar" for "metal bar."</w:t>
      </w:r>
    </w:p>
    <w:p>
      <w:pPr>
        <w:sectPr>
          <w:type w:val="nextPage"/>
          <w:pgSz w:w="12240" w:h="15840" w:orient="portrait"/>
          <w:pgMar w:bottom="970" w:top="1080" w:right="2145" w:left="2155" w:header="720" w:footer="1128"/>
          <w:titlePg w:val="false"/>
          <w:textDirection w:val="lrTb"/>
        </w:sectPr>
      </w:pPr>
    </w:p>
    <w:p>
      <w:pPr>
        <w:pageBreakBefore w:val="false"/>
        <w:spacing w:before="13" w:after="0" w:line="295" w:lineRule="exact"/>
        <w:ind w:right="0" w:left="0" w:firstLine="0"/>
        <w:jc w:val="both"/>
        <w:textAlignment w:val="baseline"/>
        <w:rPr>
          <w:rFonts w:ascii="Arial" w:hAnsi="Arial" w:eastAsia="Arial"/>
          <w:color w:val="000000"/>
          <w:spacing w:val="0"/>
          <w:w w:val="100"/>
          <w:sz w:val="26"/>
          <w:vertAlign w:val="baseline"/>
          <w:lang w:val="en-US"/>
        </w:rPr>
      </w:pPr>
      <w:r>
        <w:pict>
          <v:line strokeweight="1.2pt" strokecolor="#000000" from="107.85pt,671.3pt" to="252.05pt,671.3pt" style="position:absolute;mso-position-horizontal-relative:page;mso-position-vertical-relative:page;">
            <v:stroke dashstyle="solid"/>
          </v:line>
        </w:pict>
      </w:r>
      <w:r>
        <w:rPr>
          <w:rFonts w:ascii="Arial" w:hAnsi="Arial" w:eastAsia="Arial"/>
          <w:color w:val="000000"/>
          <w:spacing w:val="0"/>
          <w:w w:val="100"/>
          <w:sz w:val="26"/>
          <w:vertAlign w:val="baseline"/>
          <w:lang w:val="en-US"/>
        </w:rPr>
        <w:t xml:space="preserve">revolver, rifle, shotgun, machine gun or other firearm and that the person to whom the item was displayed or manifested, perceived it as a pistol, revolver, rifle, shotgun, machine gun or other firearm. </w:t>
      </w:r>
      <w:r>
        <w:rPr>
          <w:rFonts w:ascii="Arial" w:hAnsi="Arial" w:eastAsia="Arial"/>
          <w:color w:val="000000"/>
          <w:spacing w:val="0"/>
          <w:w w:val="100"/>
          <w:sz w:val="26"/>
          <w:vertAlign w:val="superscript"/>
          <w:lang w:val="en-US"/>
        </w:rPr>
        <w:t xml:space="preserve">12</w:t>
      </w:r>
      <w:r>
        <w:rPr>
          <w:rFonts w:ascii="Arial" w:hAnsi="Arial" w:eastAsia="Arial"/>
          <w:color w:val="000000"/>
          <w:spacing w:val="0"/>
          <w:w w:val="100"/>
          <w:sz w:val="16"/>
          <w:vertAlign w:val="baseline"/>
          <w:lang w:val="en-US"/>
        </w:rPr>
        <w:t xml:space="preserve">
</w:t>
      </w:r>
    </w:p>
    <w:p>
      <w:pPr>
        <w:pageBreakBefore w:val="false"/>
        <w:spacing w:before="304" w:after="0" w:line="295" w:lineRule="exact"/>
        <w:ind w:right="0" w:left="0" w:firstLine="72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In order for you to find the defendant guilty of this crime, the People are required to prove, from all the evidence in the case, beyond a reasonable doubt, each of the following four elements:</w:t>
      </w:r>
    </w:p>
    <w:p>
      <w:pPr>
        <w:pageBreakBefore w:val="false"/>
        <w:numPr>
          <w:ilvl w:val="0"/>
          <w:numId w:val="1"/>
        </w:numPr>
        <w:tabs>
          <w:tab w:val="clear" w:pos="720"/>
          <w:tab w:val="left" w:pos="1440"/>
        </w:tabs>
        <w:spacing w:before="306" w:after="0" w:line="297" w:lineRule="exact"/>
        <w:ind w:right="0" w:left="1440" w:hanging="72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That on or about [and between] (</w:t>
      </w:r>
      <w:r>
        <w:rPr>
          <w:rFonts w:ascii="Arial" w:hAnsi="Arial" w:eastAsia="Arial"/>
          <w:i w:val="true"/>
          <w:color w:val="000000"/>
          <w:spacing w:val="0"/>
          <w:w w:val="100"/>
          <w:sz w:val="26"/>
          <w:u w:val="single"/>
          <w:vertAlign w:val="baseline"/>
          <w:lang w:val="en-US"/>
        </w:rPr>
        <w:t xml:space="preserve">date[s]</w:t>
      </w:r>
      <w:r>
        <w:rPr>
          <w:rFonts w:ascii="Arial" w:hAnsi="Arial" w:eastAsia="Arial"/>
          <w:color w:val="000000"/>
          <w:spacing w:val="0"/>
          <w:w w:val="100"/>
          <w:sz w:val="26"/>
          <w:vertAlign w:val="baseline"/>
          <w:lang w:val="en-US"/>
        </w:rPr>
        <w:t xml:space="preserve">), in the county of (</w:t>
      </w:r>
      <w:r>
        <w:rPr>
          <w:rFonts w:ascii="Arial" w:hAnsi="Arial" w:eastAsia="Arial"/>
          <w:i w:val="true"/>
          <w:color w:val="000000"/>
          <w:spacing w:val="0"/>
          <w:w w:val="100"/>
          <w:sz w:val="26"/>
          <w:u w:val="single"/>
          <w:vertAlign w:val="baseline"/>
          <w:lang w:val="en-US"/>
        </w:rPr>
        <w:t xml:space="preserve">county</w:t>
      </w:r>
      <w:r>
        <w:rPr>
          <w:rFonts w:ascii="Arial" w:hAnsi="Arial" w:eastAsia="Arial"/>
          <w:color w:val="000000"/>
          <w:spacing w:val="0"/>
          <w:w w:val="100"/>
          <w:sz w:val="26"/>
          <w:vertAlign w:val="baseline"/>
          <w:lang w:val="en-US"/>
        </w:rPr>
        <w:t xml:space="preserve">), the defendant (</w:t>
      </w:r>
      <w:r>
        <w:rPr>
          <w:rFonts w:ascii="Arial" w:hAnsi="Arial" w:eastAsia="Arial"/>
          <w:i w:val="true"/>
          <w:color w:val="000000"/>
          <w:spacing w:val="0"/>
          <w:w w:val="100"/>
          <w:sz w:val="26"/>
          <w:u w:val="single"/>
          <w:vertAlign w:val="baseline"/>
          <w:lang w:val="en-US"/>
        </w:rPr>
        <w:t xml:space="preserve">defendant’s name</w:t>
      </w:r>
      <w:r>
        <w:rPr>
          <w:rFonts w:ascii="Arial" w:hAnsi="Arial" w:eastAsia="Arial"/>
          <w:color w:val="000000"/>
          <w:spacing w:val="0"/>
          <w:w w:val="100"/>
          <w:sz w:val="26"/>
          <w:vertAlign w:val="baseline"/>
          <w:lang w:val="en-US"/>
        </w:rPr>
        <w:t xml:space="preserve">) engaged in a course of conduct directed at (</w:t>
      </w:r>
      <w:r>
        <w:rPr>
          <w:rFonts w:ascii="Arial" w:hAnsi="Arial" w:eastAsia="Arial"/>
          <w:i w:val="true"/>
          <w:color w:val="000000"/>
          <w:spacing w:val="0"/>
          <w:w w:val="100"/>
          <w:sz w:val="26"/>
          <w:u w:val="single"/>
          <w:vertAlign w:val="baseline"/>
          <w:lang w:val="en-US"/>
        </w:rPr>
        <w:t xml:space="preserve">specify individual</w:t>
      </w:r>
      <w:r>
        <w:rPr>
          <w:rFonts w:ascii="Arial" w:hAnsi="Arial" w:eastAsia="Arial"/>
          <w:color w:val="000000"/>
          <w:spacing w:val="0"/>
          <w:w w:val="100"/>
          <w:sz w:val="26"/>
          <w:vertAlign w:val="baseline"/>
          <w:lang w:val="en-US"/>
        </w:rPr>
        <w:t xml:space="preserve">);</w:t>
      </w:r>
    </w:p>
    <w:p>
      <w:pPr>
        <w:pageBreakBefore w:val="false"/>
        <w:numPr>
          <w:ilvl w:val="0"/>
          <w:numId w:val="1"/>
        </w:numPr>
        <w:tabs>
          <w:tab w:val="clear" w:pos="720"/>
          <w:tab w:val="left" w:pos="1440"/>
        </w:tabs>
        <w:spacing w:before="287" w:after="0" w:line="303" w:lineRule="exact"/>
        <w:ind w:right="0" w:left="1440" w:hanging="72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That the defendant did so intentionally and with intent to harass, alarm or annoy (</w:t>
      </w:r>
      <w:r>
        <w:rPr>
          <w:rFonts w:ascii="Arial" w:hAnsi="Arial" w:eastAsia="Arial"/>
          <w:i w:val="true"/>
          <w:color w:val="000000"/>
          <w:spacing w:val="0"/>
          <w:w w:val="100"/>
          <w:sz w:val="26"/>
          <w:u w:val="single"/>
          <w:vertAlign w:val="baseline"/>
          <w:lang w:val="en-US"/>
        </w:rPr>
        <w:t xml:space="preserve">specify</w:t>
      </w:r>
      <w:r>
        <w:rPr>
          <w:rFonts w:ascii="Arial" w:hAnsi="Arial" w:eastAsia="Arial"/>
          <w:color w:val="000000"/>
          <w:spacing w:val="0"/>
          <w:w w:val="100"/>
          <w:sz w:val="26"/>
          <w:vertAlign w:val="baseline"/>
          <w:lang w:val="en-US"/>
        </w:rPr>
        <w:t xml:space="preserve">); and</w:t>
      </w:r>
    </w:p>
    <w:p>
      <w:pPr>
        <w:pageBreakBefore w:val="false"/>
        <w:numPr>
          <w:ilvl w:val="0"/>
          <w:numId w:val="1"/>
        </w:numPr>
        <w:tabs>
          <w:tab w:val="clear" w:pos="720"/>
          <w:tab w:val="left" w:pos="1440"/>
        </w:tabs>
        <w:spacing w:before="300" w:after="0" w:line="293" w:lineRule="exact"/>
        <w:ind w:right="0" w:left="1440" w:hanging="72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That the course of conduct was likely to cause (</w:t>
      </w:r>
      <w:r>
        <w:rPr>
          <w:rFonts w:ascii="Arial" w:hAnsi="Arial" w:eastAsia="Arial"/>
          <w:i w:val="true"/>
          <w:color w:val="000000"/>
          <w:spacing w:val="0"/>
          <w:w w:val="100"/>
          <w:sz w:val="26"/>
          <w:u w:val="single"/>
          <w:vertAlign w:val="baseline"/>
          <w:lang w:val="en-US"/>
        </w:rPr>
        <w:t xml:space="preserve">specify</w:t>
      </w:r>
      <w:r>
        <w:rPr>
          <w:rFonts w:ascii="Arial" w:hAnsi="Arial" w:eastAsia="Arial"/>
          <w:color w:val="000000"/>
          <w:spacing w:val="0"/>
          <w:w w:val="100"/>
          <w:sz w:val="26"/>
          <w:vertAlign w:val="baseline"/>
          <w:lang w:val="en-US"/>
        </w:rPr>
        <w:t xml:space="preserve">) to reasonably fear</w:t>
      </w:r>
    </w:p>
    <w:p>
      <w:pPr>
        <w:pageBreakBefore w:val="false"/>
        <w:spacing w:before="306" w:after="0" w:line="296" w:lineRule="exact"/>
        <w:ind w:right="0" w:left="720" w:firstLine="0"/>
        <w:jc w:val="left"/>
        <w:textAlignment w:val="baseline"/>
        <w:rPr>
          <w:rFonts w:ascii="Arial" w:hAnsi="Arial" w:eastAsia="Arial"/>
          <w:i w:val="true"/>
          <w:color w:val="000000"/>
          <w:spacing w:val="0"/>
          <w:w w:val="100"/>
          <w:sz w:val="26"/>
          <w:u w:val="single"/>
          <w:vertAlign w:val="baseline"/>
          <w:lang w:val="en-US"/>
        </w:rPr>
      </w:pPr>
      <w:r>
        <w:rPr>
          <w:rFonts w:ascii="Arial" w:hAnsi="Arial" w:eastAsia="Arial"/>
          <w:i w:val="true"/>
          <w:color w:val="000000"/>
          <w:spacing w:val="0"/>
          <w:w w:val="100"/>
          <w:sz w:val="26"/>
          <w:u w:val="single"/>
          <w:vertAlign w:val="baseline"/>
          <w:lang w:val="en-US"/>
        </w:rPr>
        <w:t xml:space="preserve">Select appropriate alternative(s):</w:t>
      </w:r>
    </w:p>
    <w:p>
      <w:pPr>
        <w:pageBreakBefore w:val="false"/>
        <w:spacing w:before="294" w:after="0" w:line="294" w:lineRule="exact"/>
        <w:ind w:right="0" w:left="1440" w:firstLine="0"/>
        <w:jc w:val="left"/>
        <w:textAlignment w:val="baseline"/>
        <w:rPr>
          <w:rFonts w:ascii="Arial" w:hAnsi="Arial" w:eastAsia="Arial"/>
          <w:color w:val="000000"/>
          <w:spacing w:val="-1"/>
          <w:w w:val="100"/>
          <w:sz w:val="26"/>
          <w:vertAlign w:val="baseline"/>
          <w:lang w:val="en-US"/>
        </w:rPr>
      </w:pPr>
      <w:r>
        <w:rPr>
          <w:rFonts w:ascii="Arial" w:hAnsi="Arial" w:eastAsia="Arial"/>
          <w:color w:val="000000"/>
          <w:spacing w:val="-1"/>
          <w:w w:val="100"/>
          <w:sz w:val="26"/>
          <w:vertAlign w:val="baseline"/>
          <w:lang w:val="en-US"/>
        </w:rPr>
        <w:t xml:space="preserve">physical injury to, [or]</w:t>
      </w:r>
    </w:p>
    <w:p>
      <w:pPr>
        <w:pageBreakBefore w:val="false"/>
        <w:spacing w:before="306" w:after="0" w:line="294" w:lineRule="exact"/>
        <w:ind w:right="0" w:left="1440" w:firstLine="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serious physical injury to, [or]</w:t>
      </w:r>
    </w:p>
    <w:p>
      <w:pPr>
        <w:pageBreakBefore w:val="false"/>
        <w:spacing w:before="296" w:after="0" w:line="294" w:lineRule="exact"/>
        <w:ind w:right="0" w:left="1440" w:firstLine="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the commission of a sex offense against, [or]</w:t>
      </w:r>
    </w:p>
    <w:p>
      <w:pPr>
        <w:pageBreakBefore w:val="false"/>
        <w:spacing w:before="306" w:after="0" w:line="294" w:lineRule="exact"/>
        <w:ind w:right="0" w:left="1440" w:firstLine="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the kidnapping of, [or]</w:t>
      </w:r>
    </w:p>
    <w:p>
      <w:pPr>
        <w:pageBreakBefore w:val="false"/>
        <w:spacing w:before="302" w:after="0" w:line="294" w:lineRule="exact"/>
        <w:ind w:right="0" w:left="1440" w:firstLine="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the unlawful imprisonment of,[or]</w:t>
      </w:r>
    </w:p>
    <w:p>
      <w:pPr>
        <w:pageBreakBefore w:val="false"/>
        <w:spacing w:before="296" w:after="0" w:line="294" w:lineRule="exact"/>
        <w:ind w:right="0" w:left="1440" w:firstLine="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death of</w:t>
      </w:r>
    </w:p>
    <w:p>
      <w:pPr>
        <w:pageBreakBefore w:val="false"/>
        <w:spacing w:before="306" w:after="0" w:line="294" w:lineRule="exact"/>
        <w:ind w:right="0" w:left="720" w:firstLine="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himself/herself [or a member of his/her immediate family].</w:t>
      </w:r>
    </w:p>
    <w:p>
      <w:pPr>
        <w:pageBreakBefore w:val="false"/>
        <w:numPr>
          <w:ilvl w:val="0"/>
          <w:numId w:val="1"/>
        </w:numPr>
        <w:tabs>
          <w:tab w:val="clear" w:pos="720"/>
          <w:tab w:val="left" w:pos="1440"/>
        </w:tabs>
        <w:spacing w:before="287" w:after="0" w:line="303" w:lineRule="exact"/>
        <w:ind w:right="0" w:left="1440" w:hanging="720"/>
        <w:jc w:val="left"/>
        <w:textAlignment w:val="baseline"/>
        <w:rPr>
          <w:rFonts w:ascii="Arial" w:hAnsi="Arial" w:eastAsia="Arial"/>
          <w:color w:val="000000"/>
          <w:spacing w:val="-4"/>
          <w:w w:val="100"/>
          <w:sz w:val="26"/>
          <w:vertAlign w:val="baseline"/>
          <w:lang w:val="en-US"/>
        </w:rPr>
      </w:pPr>
      <w:r>
        <w:rPr>
          <w:rFonts w:ascii="Arial" w:hAnsi="Arial" w:eastAsia="Arial"/>
          <w:color w:val="000000"/>
          <w:spacing w:val="-4"/>
          <w:w w:val="100"/>
          <w:sz w:val="26"/>
          <w:vertAlign w:val="baseline"/>
          <w:lang w:val="en-US"/>
        </w:rPr>
        <w:t xml:space="preserve">That in the course of and in furtherance of the commission of the offense, the defendant:</w:t>
      </w:r>
    </w:p>
    <w:p>
      <w:pPr>
        <w:pageBreakBefore w:val="false"/>
        <w:spacing w:before="296" w:after="0" w:line="295" w:lineRule="exact"/>
        <w:ind w:right="0" w:left="1440" w:firstLine="0"/>
        <w:jc w:val="left"/>
        <w:textAlignment w:val="baseline"/>
        <w:rPr>
          <w:rFonts w:ascii="Arial" w:hAnsi="Arial" w:eastAsia="Arial"/>
          <w:i w:val="true"/>
          <w:color w:val="000000"/>
          <w:spacing w:val="0"/>
          <w:w w:val="100"/>
          <w:sz w:val="26"/>
          <w:vertAlign w:val="baseline"/>
          <w:lang w:val="en-US"/>
        </w:rPr>
      </w:pPr>
      <w:r>
        <w:rPr>
          <w:rFonts w:ascii="Arial" w:hAnsi="Arial" w:eastAsia="Arial"/>
          <w:i w:val="true"/>
          <w:color w:val="000000"/>
          <w:spacing w:val="0"/>
          <w:w w:val="100"/>
          <w:sz w:val="26"/>
          <w:vertAlign w:val="baseline"/>
          <w:lang w:val="en-US"/>
        </w:rPr>
        <w:t xml:space="preserve">[Select appropriate alternative:</w:t>
      </w:r>
    </w:p>
    <w:p>
      <w:pPr>
        <w:pageBreakBefore w:val="false"/>
        <w:spacing w:before="305" w:after="414" w:line="294" w:lineRule="exact"/>
        <w:ind w:right="0" w:left="1440" w:firstLine="0"/>
        <w:jc w:val="left"/>
        <w:textAlignment w:val="baseline"/>
        <w:rPr>
          <w:rFonts w:ascii="Arial" w:hAnsi="Arial" w:eastAsia="Arial"/>
          <w:color w:val="000000"/>
          <w:spacing w:val="10"/>
          <w:w w:val="100"/>
          <w:sz w:val="26"/>
          <w:vertAlign w:val="baseline"/>
          <w:lang w:val="en-US"/>
        </w:rPr>
      </w:pPr>
      <w:r>
        <w:rPr>
          <w:rFonts w:ascii="Arial" w:hAnsi="Arial" w:eastAsia="Arial"/>
          <w:color w:val="000000"/>
          <w:spacing w:val="10"/>
          <w:w w:val="100"/>
          <w:sz w:val="26"/>
          <w:vertAlign w:val="baseline"/>
          <w:lang w:val="en-US"/>
        </w:rPr>
        <w:t xml:space="preserve">displayed, or possessed and threatened the use of</w:t>
      </w:r>
    </w:p>
    <w:p>
      <w:pPr>
        <w:pageBreakBefore w:val="false"/>
        <w:spacing w:before="250" w:after="0" w:line="283" w:lineRule="exact"/>
        <w:ind w:right="0" w:left="0" w:firstLine="360"/>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12</w:t>
      </w:r>
      <w:r>
        <w:rPr>
          <w:rFonts w:ascii="Arial" w:hAnsi="Arial" w:eastAsia="Arial"/>
          <w:i w:val="true"/>
          <w:color w:val="000000"/>
          <w:spacing w:val="0"/>
          <w:w w:val="100"/>
          <w:sz w:val="24"/>
          <w:vertAlign w:val="baseline"/>
          <w:lang w:val="en-US"/>
        </w:rPr>
        <w:t xml:space="preserve">See People v Lopez</w:t>
      </w:r>
      <w:r>
        <w:rPr>
          <w:rFonts w:ascii="Arial" w:hAnsi="Arial" w:eastAsia="Arial"/>
          <w:color w:val="000000"/>
          <w:spacing w:val="0"/>
          <w:w w:val="100"/>
          <w:sz w:val="24"/>
          <w:vertAlign w:val="baseline"/>
          <w:lang w:val="en-US"/>
        </w:rPr>
        <w:t xml:space="preserve">, 73 NY2d 214 (1989); </w:t>
      </w:r>
      <w:r>
        <w:rPr>
          <w:rFonts w:ascii="Arial" w:hAnsi="Arial" w:eastAsia="Arial"/>
          <w:i w:val="true"/>
          <w:color w:val="000000"/>
          <w:spacing w:val="0"/>
          <w:w w:val="100"/>
          <w:sz w:val="24"/>
          <w:vertAlign w:val="baseline"/>
          <w:lang w:val="en-US"/>
        </w:rPr>
        <w:t xml:space="preserve">People v Baskerville</w:t>
      </w:r>
      <w:r>
        <w:rPr>
          <w:rFonts w:ascii="Arial" w:hAnsi="Arial" w:eastAsia="Arial"/>
          <w:color w:val="000000"/>
          <w:spacing w:val="0"/>
          <w:w w:val="100"/>
          <w:sz w:val="24"/>
          <w:vertAlign w:val="baseline"/>
          <w:lang w:val="en-US"/>
        </w:rPr>
        <w:t xml:space="preserve">, 60 NY2d 374 (1983).</w:t>
      </w:r>
    </w:p>
    <w:p>
      <w:pPr>
        <w:sectPr>
          <w:type w:val="nextPage"/>
          <w:pgSz w:w="12240" w:h="15840" w:orient="portrait"/>
          <w:pgMar w:bottom="970" w:top="1080" w:right="2143" w:left="2157" w:header="720" w:footer="1122"/>
          <w:titlePg w:val="false"/>
          <w:textDirection w:val="lrTb"/>
        </w:sectPr>
      </w:pPr>
    </w:p>
    <w:p>
      <w:pPr>
        <w:pageBreakBefore w:val="false"/>
        <w:spacing w:before="12" w:after="0" w:line="298" w:lineRule="exact"/>
        <w:ind w:right="0" w:left="1440" w:firstLine="0"/>
        <w:jc w:val="left"/>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w:t>
      </w:r>
      <w:r>
        <w:rPr>
          <w:rFonts w:ascii="Arial" w:hAnsi="Arial" w:eastAsia="Arial"/>
          <w:i w:val="true"/>
          <w:color w:val="000000"/>
          <w:spacing w:val="0"/>
          <w:w w:val="100"/>
          <w:sz w:val="26"/>
          <w:u w:val="single"/>
          <w:vertAlign w:val="baseline"/>
          <w:lang w:val="en-US"/>
        </w:rPr>
        <w:t xml:space="preserve">specify item(s) listed in Penal Law § 120.55(1)(i)</w:t>
      </w:r>
      <w:r>
        <w:rPr>
          <w:rFonts w:ascii="Arial" w:hAnsi="Arial" w:eastAsia="Arial"/>
          <w:color w:val="000000"/>
          <w:spacing w:val="0"/>
          <w:w w:val="100"/>
          <w:sz w:val="26"/>
          <w:vertAlign w:val="baseline"/>
          <w:lang w:val="en-US"/>
        </w:rPr>
        <w:t xml:space="preserve"> )</w:t>
      </w:r>
    </w:p>
    <w:p>
      <w:pPr>
        <w:pageBreakBefore w:val="false"/>
        <w:spacing w:before="296" w:after="0" w:line="298" w:lineRule="exact"/>
        <w:ind w:right="0" w:left="1440" w:firstLine="0"/>
        <w:jc w:val="both"/>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displayed what appeared to be a pistol, revolver, rifle, shotgun, machine-gun, or other firearm].</w:t>
      </w:r>
    </w:p>
    <w:p>
      <w:pPr>
        <w:pageBreakBefore w:val="false"/>
        <w:spacing w:before="297"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2"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972" w:top="1080" w:right="2145" w:left="2155" w:header="720" w:footer="1122"/>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29"/>
      </w:tabs>
      <w:spacing w:before="0" w:after="0" w:line="297" w:lineRule="exact"/>
      <w:ind w:right="0" w:left="72"/>
      <w:jc w:val="left"/>
      <w:textAlignment w:val="baseline"/>
      <w:rPr>
        <w:rFonts w:ascii="Times New Roman" w:hAnsi="Times New Roman" w:eastAsia="Times New Roman"/>
        <w:color w:val="000000"/>
        <w:w w:val="100"/>
        <w:sz w:val="24"/>
        <w:vertAlign w:val="baseline"/>
        <w:lang w:val="en-US"/>
      </w:rPr>
    </w:pPr>
    <w:r>
      <w:rPr>
        <w:rFonts w:ascii="Times New Roman" w:hAnsi="Times New Roman" w:eastAsia="Times New Roman"/>
        <w:color w:val="000000"/>
        <w:w w:val="100"/>
        <w:sz w:val="24"/>
        <w:vertAlign w:val="baseline"/>
        <w:lang w:val="en-US"/>
      </w:rPr>
      <w:tab/>
    </w:r>
    <w:r>
      <w:rPr>
        <w:rFonts w:ascii="Arial" w:hAnsi="Arial" w:eastAsia="Arial"/>
        <w:color w:val="000000"/>
        <w:spacing w:val="0"/>
        <w:w w:val="100"/>
        <w:sz w:val="26"/>
        <w:vertAlign w:val="baseline"/>
        <w:lang w:val="en-US"/>
      </w:rPr>
      <w:fldChar w:fldCharType="begin"/>
    </w:r>
    <w:r>
      <w:rPr>
        <w:rFonts w:ascii="Arial" w:hAnsi="Arial" w:eastAsia="Arial"/>
        <w:color w:val="000000"/>
        <w:spacing w:val="0"/>
        <w:w w:val="100"/>
        <w:sz w:val="26"/>
        <w:vertAlign w:val="baseline"/>
        <w:lang w:val="en-US"/>
      </w:rPr>
      <w:instrText xml:space="preserve">PAGE</w:instrText>
    </w:r>
    <w:r>
      <w:rPr>
        <w:rFonts w:ascii="Arial" w:hAnsi="Arial" w:eastAsia="Arial"/>
        <w:color w:val="000000"/>
        <w:spacing w:val="0"/>
        <w:w w:val="100"/>
        <w:sz w:val="26"/>
        <w:vertAlign w:val="baseline"/>
        <w:lang w:val="en-US"/>
      </w:rPr>
      <w:fldChar w:fldCharType="end"/>
    </w:r>
    <w:r>
      <w:rPr>
        <w:rFonts w:ascii="Arial" w:hAnsi="Arial" w:eastAsia="Arial"/>
        <w:color w:val="000000"/>
        <w:spacing w:val="0"/>
        <w:w w:val="100"/>
        <w:sz w:val="26"/>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6"/>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