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0" w:after="300" w:line="319" w:lineRule="exact"/>
        <w:ind w:right="0" w:left="0" w:firstLine="0"/>
        <w:jc w:val="center"/>
        <w:textAlignment w:val="baseline"/>
        <w:rPr>
          <w:rFonts w:ascii="Arial" w:hAnsi="Arial" w:eastAsia="Arial"/>
          <w:b w:val="true"/>
          <w:color w:val="000000"/>
          <w:spacing w:val="-10"/>
          <w:w w:val="100"/>
          <w:sz w:val="28"/>
          <w:vertAlign w:val="baseline"/>
          <w:lang w:val="en-US"/>
        </w:rPr>
      </w:pPr>
      <w:r>
        <w:rPr>
          <w:rFonts w:ascii="Arial" w:hAnsi="Arial" w:eastAsia="Arial"/>
          <w:b w:val="true"/>
          <w:color w:val="000000"/>
          <w:spacing w:val="-10"/>
          <w:w w:val="100"/>
          <w:sz w:val="28"/>
          <w:vertAlign w:val="baseline"/>
          <w:lang w:val="en-US"/>
        </w:rPr>
        <w:t xml:space="preserve">AGENCY </w:t>
      </w:r>
      <w:r>
        <w:rPr>
          <w:rFonts w:ascii="Arial" w:hAnsi="Arial" w:eastAsia="Arial"/>
          <w:color w:val="000000"/>
          <w:spacing w:val="-10"/>
          <w:w w:val="100"/>
          <w:sz w:val="28"/>
          <w:vertAlign w:val="superscript"/>
          <w:lang w:val="en-US"/>
        </w:rPr>
        <w:t xml:space="preserve">1</w:t>
      </w:r>
      <w:r>
        <w:rPr>
          <w:rFonts w:ascii="Arial" w:hAnsi="Arial" w:eastAsia="Arial"/>
          <w:color w:val="000000"/>
          <w:spacing w:val="-10"/>
          <w:w w:val="100"/>
          <w:sz w:val="16"/>
          <w:vertAlign w:val="baseline"/>
          <w:lang w:val="en-US"/>
        </w:rPr>
        <w:t xml:space="preserve">
</w:t>
      </w:r>
    </w:p>
    <w:p>
      <w:pPr>
        <w:pageBreakBefore w:val="false"/>
        <w:spacing w:before="362" w:after="0" w:line="321" w:lineRule="exact"/>
        <w:ind w:right="720" w:left="720" w:firstLine="0"/>
        <w:jc w:val="both"/>
        <w:textAlignment w:val="baseline"/>
        <w:rPr>
          <w:rFonts w:ascii="Arial" w:hAnsi="Arial" w:eastAsia="Arial"/>
          <w:i w:val="true"/>
          <w:color w:val="000000"/>
          <w:spacing w:val="0"/>
          <w:w w:val="100"/>
          <w:sz w:val="28"/>
          <w:vertAlign w:val="baseline"/>
          <w:lang w:val="en-US"/>
        </w:rPr>
      </w:pPr>
      <w:r>
        <w:pict>
          <v:line strokeweight="1.2pt" strokecolor="#000000" from="227.75pt,103.9pt" to="383.8pt,103.9pt" style="position:absolute;mso-position-horizontal-relative:page;mso-position-vertical-relative:page;">
            <v:stroke dashstyle="solid"/>
          </v:line>
        </w:pict>
      </w:r>
      <w:r>
        <w:rPr>
          <w:rFonts w:ascii="Arial" w:hAnsi="Arial" w:eastAsia="Arial"/>
          <w:i w:val="true"/>
          <w:color w:val="000000"/>
          <w:spacing w:val="0"/>
          <w:w w:val="100"/>
          <w:sz w:val="28"/>
          <w:vertAlign w:val="baseline"/>
          <w:lang w:val="en-US"/>
        </w:rPr>
        <w:t xml:space="preserve">After instructing the jury on the defined terms of the appropriate charged offense, add the following instruction on the defense of agency. Then, in listing the elements of the offense, add, as the final element, the following:</w:t>
      </w:r>
    </w:p>
    <w:p>
      <w:pPr>
        <w:pageBreakBefore w:val="false"/>
        <w:spacing w:before="339" w:after="0" w:line="319" w:lineRule="exact"/>
        <w:ind w:right="0" w:left="0" w:firstLine="0"/>
        <w:jc w:val="center"/>
        <w:textAlignment w:val="baseline"/>
        <w:rPr>
          <w:rFonts w:ascii="Arial" w:hAnsi="Arial" w:eastAsia="Arial"/>
          <w:b w:val="true"/>
          <w:color w:val="000000"/>
          <w:spacing w:val="-5"/>
          <w:w w:val="100"/>
          <w:sz w:val="28"/>
          <w:vertAlign w:val="baseline"/>
          <w:lang w:val="en-US"/>
        </w:rPr>
      </w:pPr>
      <w:r>
        <w:rPr>
          <w:rFonts w:ascii="Arial" w:hAnsi="Arial" w:eastAsia="Arial"/>
          <w:b w:val="true"/>
          <w:color w:val="000000"/>
          <w:spacing w:val="-5"/>
          <w:w w:val="100"/>
          <w:sz w:val="28"/>
          <w:vertAlign w:val="baseline"/>
          <w:lang w:val="en-US"/>
        </w:rPr>
        <w:t xml:space="preserve">“and,</w:t>
      </w:r>
    </w:p>
    <w:p>
      <w:pPr>
        <w:pageBreakBefore w:val="false"/>
        <w:spacing w:before="13" w:after="277" w:line="319" w:lineRule="exact"/>
        <w:ind w:right="0" w:left="720" w:firstLine="0"/>
        <w:jc w:val="left"/>
        <w:textAlignment w:val="baseline"/>
        <w:rPr>
          <w:rFonts w:ascii="Arial" w:hAnsi="Arial" w:eastAsia="Arial"/>
          <w:b w:val="true"/>
          <w:color w:val="000000"/>
          <w:spacing w:val="-3"/>
          <w:w w:val="100"/>
          <w:sz w:val="28"/>
          <w:vertAlign w:val="baseline"/>
          <w:lang w:val="en-US"/>
        </w:rPr>
      </w:pPr>
      <w:r>
        <w:rPr>
          <w:rFonts w:ascii="Arial" w:hAnsi="Arial" w:eastAsia="Arial"/>
          <w:b w:val="true"/>
          <w:color w:val="000000"/>
          <w:spacing w:val="-3"/>
          <w:w w:val="100"/>
          <w:sz w:val="28"/>
          <w:vertAlign w:val="baseline"/>
          <w:lang w:val="en-US"/>
        </w:rPr>
        <w:t xml:space="preserve">#. That the defendant was not the agent of the buyer.”]</w:t>
      </w:r>
    </w:p>
    <w:p>
      <w:pPr>
        <w:pageBreakBefore w:val="false"/>
        <w:spacing w:before="687" w:after="0" w:line="324" w:lineRule="exact"/>
        <w:ind w:right="0" w:left="0" w:firstLine="720"/>
        <w:jc w:val="both"/>
        <w:textAlignment w:val="baseline"/>
        <w:rPr>
          <w:rFonts w:ascii="Arial" w:hAnsi="Arial" w:eastAsia="Arial"/>
          <w:color w:val="000000"/>
          <w:spacing w:val="0"/>
          <w:w w:val="100"/>
          <w:sz w:val="28"/>
          <w:vertAlign w:val="baseline"/>
          <w:lang w:val="en-US"/>
        </w:rPr>
      </w:pPr>
      <w:r>
        <w:pict>
          <v:line strokeweight="1.2pt" strokecolor="#000000" from="227.75pt,265.9pt" to="383.8pt,265.9pt" style="position:absolute;mso-position-horizontal-relative:page;mso-position-vertical-relative:page;">
            <v:stroke dashstyle="solid"/>
          </v:line>
        </w:pict>
      </w:r>
      <w:r>
        <w:rPr>
          <w:rFonts w:ascii="Arial" w:hAnsi="Arial" w:eastAsia="Arial"/>
          <w:color w:val="000000"/>
          <w:spacing w:val="0"/>
          <w:w w:val="100"/>
          <w:sz w:val="28"/>
          <w:vertAlign w:val="baseline"/>
          <w:lang w:val="en-US"/>
        </w:rPr>
        <w:t xml:space="preserve">In this case, with respect to this count [and count(s)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the defendant has raised the agency defense.</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not guilty of selling a controlled substance [marihuana]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possessing a controlled substance (marihuana) with the intent to sell it] if he/she was acting as the agent of the buyer.</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 agent of a buyer is a person whose sole concern in a drug transaction is not the selling of drugs but the purchasing or acquiring of drugs for another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for another and himself/herself].</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6"/>
          <w:vertAlign w:val="baseline"/>
          <w:lang w:val="en-US"/>
        </w:rPr>
        <w:t xml:space="preserve">
</w:t>
      </w:r>
    </w:p>
    <w:p>
      <w:pPr>
        <w:pageBreakBefore w:val="false"/>
        <w:spacing w:before="32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contrast, a person is not an agent of the buyer if such person participates in a drug transaction for the purpose of selling or aiding another to sell. [Nor is a person the agent of the buyer if he/she participates in the transaction for the purpose of independently brokering the sale between the buyer and the seller.]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6"/>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to determine whether the defendant in this case was an agent of the buyer, you must consider all the evidence relating to the circumstances surrounding the transaction, including the role the defendant played in it.</w:t>
      </w:r>
      <w:r>
        <w:rPr>
          <w:rFonts w:ascii="Arial" w:hAnsi="Arial" w:eastAsia="Arial"/>
          <w:color w:val="000000"/>
          <w:spacing w:val="0"/>
          <w:w w:val="100"/>
          <w:sz w:val="16"/>
          <w:vertAlign w:val="baseline"/>
          <w:lang w:val="en-US"/>
        </w:rPr>
        <w:t xml:space="preserve">4</w:t>
      </w:r>
    </w:p>
    <w:p>
      <w:pPr>
        <w:sectPr>
          <w:type w:val="nextPage"/>
          <w:pgSz w:w="12240" w:h="15840" w:orient="portrait"/>
          <w:pgMar w:bottom="1624" w:top="1420" w:right="2140" w:left="2160" w:header="720" w:footer="720"/>
          <w:titlePg w:val="false"/>
          <w:textDirection w:val="lrTb"/>
        </w:sectPr>
      </w:pPr>
    </w:p>
    <w:p>
      <w:pPr>
        <w:pageBreakBefore w:val="false"/>
        <w:spacing w:before="6"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Examples of factors that would support the agency defense include the following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360"/>
          <w:tab w:val="left" w:pos="1080"/>
        </w:tabs>
        <w:spacing w:before="329" w:after="0"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prior to the transaction, the defendant and (</w:t>
      </w:r>
      <w:r>
        <w:rPr>
          <w:rFonts w:ascii="Arial" w:hAnsi="Arial" w:eastAsia="Arial"/>
          <w:i w:val="true"/>
          <w:color w:val="000000"/>
          <w:spacing w:val="-3"/>
          <w:w w:val="100"/>
          <w:sz w:val="28"/>
          <w:u w:val="single"/>
          <w:vertAlign w:val="baseline"/>
          <w:lang w:val="en-US"/>
        </w:rPr>
        <w:t xml:space="preserve">specify</w:t>
      </w:r>
      <w:r>
        <w:rPr>
          <w:rFonts w:ascii="Arial" w:hAnsi="Arial" w:eastAsia="Arial"/>
          <w:i w:val="true"/>
          <w:color w:val="000000"/>
          <w:spacing w:val="-3"/>
          <w:w w:val="100"/>
          <w:sz w:val="29"/>
          <w:vertAlign w:val="baseline"/>
          <w:lang w:val="en-US"/>
        </w:rPr>
        <w:t xml:space="preserve"> </w:t>
      </w:r>
      <w:r>
        <w:rPr>
          <w:rFonts w:ascii="Arial" w:hAnsi="Arial" w:eastAsia="Arial"/>
          <w:i w:val="true"/>
          <w:color w:val="000000"/>
          <w:spacing w:val="-3"/>
          <w:w w:val="100"/>
          <w:sz w:val="28"/>
          <w:u w:val="single"/>
          <w:vertAlign w:val="baseline"/>
          <w:lang w:val="en-US"/>
        </w:rPr>
        <w:t xml:space="preserve">name of buyer</w:t>
      </w:r>
      <w:r>
        <w:rPr>
          <w:rFonts w:ascii="Arial" w:hAnsi="Arial" w:eastAsia="Arial"/>
          <w:color w:val="000000"/>
          <w:spacing w:val="-3"/>
          <w:w w:val="100"/>
          <w:sz w:val="28"/>
          <w:vertAlign w:val="baseline"/>
          <w:lang w:val="en-US"/>
        </w:rPr>
        <w:t xml:space="preserve">) were known to each other and had a relationship.</w:t>
      </w:r>
    </w:p>
    <w:p>
      <w:pPr>
        <w:pageBreakBefore w:val="false"/>
        <w:numPr>
          <w:ilvl w:val="0"/>
          <w:numId w:val="1"/>
        </w:numPr>
        <w:tabs>
          <w:tab w:val="clear" w:pos="360"/>
          <w:tab w:val="left" w:pos="1080"/>
        </w:tabs>
        <w:spacing w:before="324"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specify name of buyer</w:t>
      </w:r>
      <w:r>
        <w:rPr>
          <w:rFonts w:ascii="Arial" w:hAnsi="Arial" w:eastAsia="Arial"/>
          <w:color w:val="000000"/>
          <w:spacing w:val="0"/>
          <w:w w:val="100"/>
          <w:sz w:val="28"/>
          <w:vertAlign w:val="baseline"/>
          <w:lang w:val="en-US"/>
        </w:rPr>
        <w:t xml:space="preserve">), and not the defendant, first suggested the transaction.</w:t>
      </w:r>
    </w:p>
    <w:p>
      <w:pPr>
        <w:pageBreakBefore w:val="false"/>
        <w:numPr>
          <w:ilvl w:val="0"/>
          <w:numId w:val="1"/>
        </w:numPr>
        <w:tabs>
          <w:tab w:val="clear" w:pos="360"/>
          <w:tab w:val="left" w:pos="1080"/>
        </w:tabs>
        <w:spacing w:before="330" w:after="0" w:line="318"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That the defendant said nothing to promote the sale.</w:t>
      </w:r>
    </w:p>
    <w:p>
      <w:pPr>
        <w:pageBreakBefore w:val="false"/>
        <w:numPr>
          <w:ilvl w:val="0"/>
          <w:numId w:val="1"/>
        </w:numPr>
        <w:tabs>
          <w:tab w:val="clear" w:pos="360"/>
          <w:tab w:val="left" w:pos="1080"/>
        </w:tabs>
        <w:spacing w:before="324"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the defendant did not receive any benefit for his/her participation in the alleged sale. Or, if the defendant received a benefit from </w:t>
      </w:r>
      <w:r>
        <w:rPr>
          <w:rFonts w:ascii="Arial" w:hAnsi="Arial" w:eastAsia="Arial"/>
          <w:i w:val="true"/>
          <w:color w:val="000000"/>
          <w:spacing w:val="-3"/>
          <w:w w:val="100"/>
          <w:sz w:val="29"/>
          <w:vertAlign w:val="baseline"/>
          <w:lang w:val="en-US"/>
        </w:rPr>
        <w:t xml:space="preserve">(</w:t>
      </w:r>
      <w:r>
        <w:rPr>
          <w:rFonts w:ascii="Arial" w:hAnsi="Arial" w:eastAsia="Arial"/>
          <w:i w:val="true"/>
          <w:color w:val="000000"/>
          <w:spacing w:val="-3"/>
          <w:w w:val="100"/>
          <w:sz w:val="28"/>
          <w:u w:val="single"/>
          <w:vertAlign w:val="baseline"/>
          <w:lang w:val="en-US"/>
        </w:rPr>
        <w:t xml:space="preserve">specify name of buyer</w:t>
      </w:r>
      <w:r>
        <w:rPr>
          <w:rFonts w:ascii="Arial" w:hAnsi="Arial" w:eastAsia="Arial"/>
          <w:i w:val="true"/>
          <w:color w:val="000000"/>
          <w:spacing w:val="-3"/>
          <w:w w:val="100"/>
          <w:sz w:val="29"/>
          <w:vertAlign w:val="baseline"/>
          <w:lang w:val="en-US"/>
        </w:rPr>
        <w:t xml:space="preserve">), </w:t>
      </w:r>
      <w:r>
        <w:rPr>
          <w:rFonts w:ascii="Arial" w:hAnsi="Arial" w:eastAsia="Arial"/>
          <w:color w:val="000000"/>
          <w:spacing w:val="-3"/>
          <w:w w:val="100"/>
          <w:sz w:val="28"/>
          <w:vertAlign w:val="baseline"/>
          <w:lang w:val="en-US"/>
        </w:rPr>
        <w:t xml:space="preserve">it was incidental, for example, in the nature of a share of the drug or a tip, as a token of appreciation, and not in consideration for selling.</w:t>
      </w:r>
    </w:p>
    <w:p>
      <w:pPr>
        <w:pageBreakBefore w:val="false"/>
        <w:numPr>
          <w:ilvl w:val="0"/>
          <w:numId w:val="1"/>
        </w:numPr>
        <w:tabs>
          <w:tab w:val="clear" w:pos="360"/>
          <w:tab w:val="left" w:pos="1080"/>
        </w:tabs>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prior to the transaction, the (</w:t>
      </w:r>
      <w:r>
        <w:rPr>
          <w:rFonts w:ascii="Arial" w:hAnsi="Arial" w:eastAsia="Arial"/>
          <w:i w:val="true"/>
          <w:color w:val="000000"/>
          <w:spacing w:val="0"/>
          <w:w w:val="100"/>
          <w:sz w:val="28"/>
          <w:u w:val="single"/>
          <w:vertAlign w:val="baseline"/>
          <w:lang w:val="en-US"/>
        </w:rPr>
        <w:t xml:space="preserve">name of controlled substance [marihuana]</w:t>
      </w:r>
      <w:r>
        <w:rPr>
          <w:rFonts w:ascii="Arial" w:hAnsi="Arial" w:eastAsia="Arial"/>
          <w:color w:val="000000"/>
          <w:spacing w:val="0"/>
          <w:w w:val="100"/>
          <w:sz w:val="28"/>
          <w:vertAlign w:val="baseline"/>
          <w:lang w:val="en-US"/>
        </w:rPr>
        <w:t xml:space="preserve">) in question was controlled exclusively by a person other than the defendant.</w:t>
      </w:r>
    </w:p>
    <w:p>
      <w:pPr>
        <w:pageBreakBefore w:val="false"/>
        <w:spacing w:before="337"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[6. That the defendant had not at any other time engaged in the sale of a controlled substance [marihuana] (or, the possession of a controlled substance [marihuana] with the intent to sell it).</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40" w:after="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Examples of factors that would not support the agency defense include the following</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numPr>
          <w:ilvl w:val="0"/>
          <w:numId w:val="2"/>
        </w:numPr>
        <w:tabs>
          <w:tab w:val="clear" w:pos="720"/>
          <w:tab w:val="left" w:pos="1440"/>
        </w:tabs>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prior to the transaction, the defendant and (</w:t>
      </w:r>
      <w:r>
        <w:rPr>
          <w:rFonts w:ascii="Arial" w:hAnsi="Arial" w:eastAsia="Arial"/>
          <w:i w:val="true"/>
          <w:color w:val="000000"/>
          <w:spacing w:val="0"/>
          <w:w w:val="100"/>
          <w:sz w:val="28"/>
          <w:u w:val="single"/>
          <w:vertAlign w:val="baseline"/>
          <w:lang w:val="en-US"/>
        </w:rPr>
        <w:t xml:space="preserve">specify name of buyer</w:t>
      </w:r>
      <w:r>
        <w:rPr>
          <w:rFonts w:ascii="Arial" w:hAnsi="Arial" w:eastAsia="Arial"/>
          <w:color w:val="000000"/>
          <w:spacing w:val="0"/>
          <w:w w:val="100"/>
          <w:sz w:val="28"/>
          <w:vertAlign w:val="baseline"/>
          <w:lang w:val="en-US"/>
        </w:rPr>
        <w:t xml:space="preserve">) were not known to each other and had no relationship.</w:t>
      </w:r>
    </w:p>
    <w:p>
      <w:pPr>
        <w:pageBreakBefore w:val="false"/>
        <w:numPr>
          <w:ilvl w:val="0"/>
          <w:numId w:val="1"/>
        </w:numPr>
        <w:tabs>
          <w:tab w:val="clear" w:pos="360"/>
          <w:tab w:val="left" w:pos="1080"/>
        </w:tabs>
        <w:spacing w:before="32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and not (</w:t>
      </w:r>
      <w:r>
        <w:rPr>
          <w:rFonts w:ascii="Arial" w:hAnsi="Arial" w:eastAsia="Arial"/>
          <w:i w:val="true"/>
          <w:color w:val="000000"/>
          <w:spacing w:val="0"/>
          <w:w w:val="100"/>
          <w:sz w:val="28"/>
          <w:u w:val="single"/>
          <w:vertAlign w:val="baseline"/>
          <w:lang w:val="en-US"/>
        </w:rPr>
        <w:t xml:space="preserve">specify name of buyer</w:t>
      </w:r>
      <w:r>
        <w:rPr>
          <w:rFonts w:ascii="Arial" w:hAnsi="Arial" w:eastAsia="Arial"/>
          <w:color w:val="000000"/>
          <w:spacing w:val="0"/>
          <w:w w:val="100"/>
          <w:sz w:val="28"/>
          <w:vertAlign w:val="baseline"/>
          <w:lang w:val="en-US"/>
        </w:rPr>
        <w:t xml:space="preserve">), first suggested the transaction.</w:t>
      </w:r>
    </w:p>
    <w:p>
      <w:pPr>
        <w:pageBreakBefore w:val="false"/>
        <w:numPr>
          <w:ilvl w:val="0"/>
          <w:numId w:val="2"/>
        </w:numPr>
        <w:tabs>
          <w:tab w:val="clear" w:pos="720"/>
          <w:tab w:val="left" w:pos="1440"/>
        </w:tabs>
        <w:spacing w:before="326" w:after="427"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touted the quality of the drug or otherwise promoted the sale.</w:t>
      </w:r>
    </w:p>
    <w:p>
      <w:pPr>
        <w:spacing w:before="326" w:after="427" w:line="322" w:lineRule="exact"/>
        <w:sectPr>
          <w:type w:val="nextPage"/>
          <w:pgSz w:w="12240" w:h="15840" w:orient="portrait"/>
          <w:pgMar w:bottom="1024" w:top="1440" w:right="2138" w:left="2162" w:header="720" w:footer="720"/>
          <w:titlePg w:val="false"/>
          <w:textDirection w:val="lrTb"/>
        </w:sectPr>
      </w:pPr>
    </w:p>
    <w:p>
      <w:pPr>
        <w:pageBreakBefore w:val="false"/>
        <w:spacing w:before="0" w:after="0" w:line="218" w:lineRule="exact"/>
        <w:ind w:right="0" w:left="0" w:firstLine="0"/>
        <w:jc w:val="center"/>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2</w:t>
      </w:r>
    </w:p>
    <w:p>
      <w:pPr>
        <w:sectPr>
          <w:type w:val="continuous"/>
          <w:pgSz w:w="12240" w:h="15840" w:orient="portrait"/>
          <w:pgMar w:bottom="1024" w:top="1440" w:right="2152" w:left="2148" w:header="720" w:footer="720"/>
          <w:titlePg w:val="false"/>
          <w:textDirection w:val="lrTb"/>
        </w:sectPr>
      </w:pPr>
    </w:p>
    <w:p>
      <w:pPr>
        <w:pageBreakBefore w:val="false"/>
        <w:numPr>
          <w:ilvl w:val="0"/>
          <w:numId w:val="3"/>
        </w:numPr>
        <w:tabs>
          <w:tab w:val="clear" w:pos="720"/>
          <w:tab w:val="left" w:pos="1440"/>
          <w:tab w:val="right" w:leader="none" w:pos="7920"/>
        </w:tabs>
        <w:spacing w:before="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received a benefit for his/her</w:t>
        <w:br/>
      </w:r>
      <w:r>
        <w:rPr>
          <w:rFonts w:ascii="Arial" w:hAnsi="Arial" w:eastAsia="Arial"/>
          <w:color w:val="000000"/>
          <w:spacing w:val="0"/>
          <w:w w:val="100"/>
          <w:sz w:val="28"/>
          <w:vertAlign w:val="baseline"/>
          <w:lang w:val="en-US"/>
        </w:rPr>
        <w:t xml:space="preserve">participation in the transaction which was not merely a token of appreciation from </w:t>
      </w:r>
      <w:r>
        <w:rPr>
          <w:rFonts w:ascii="Arial" w:hAnsi="Arial" w:eastAsia="Arial"/>
          <w:i w:val="true"/>
          <w:color w:val="000000"/>
          <w:spacing w:val="0"/>
          <w:w w:val="100"/>
          <w:sz w:val="29"/>
          <w:vertAlign w:val="baseline"/>
          <w:lang w:val="en-US"/>
        </w:rPr>
        <w:t xml:space="preserve">(</w:t>
      </w:r>
      <w:r>
        <w:rPr>
          <w:rFonts w:ascii="Arial" w:hAnsi="Arial" w:eastAsia="Arial"/>
          <w:i w:val="true"/>
          <w:color w:val="000000"/>
          <w:spacing w:val="0"/>
          <w:w w:val="100"/>
          <w:sz w:val="28"/>
          <w:u w:val="single"/>
          <w:vertAlign w:val="baseline"/>
          <w:lang w:val="en-US"/>
        </w:rPr>
        <w:t xml:space="preserve">specify name of buyer</w:t>
      </w:r>
      <w:r>
        <w:rPr>
          <w:rFonts w:ascii="Arial" w:hAnsi="Arial" w:eastAsia="Arial"/>
          <w:i w:val="true"/>
          <w:color w:val="000000"/>
          <w:spacing w:val="0"/>
          <w:w w:val="100"/>
          <w:sz w:val="29"/>
          <w:vertAlign w:val="baseline"/>
          <w:lang w:val="en-US"/>
        </w:rPr>
        <w:t xml:space="preserv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numPr>
          <w:ilvl w:val="0"/>
          <w:numId w:val="1"/>
        </w:numPr>
        <w:tabs>
          <w:tab w:val="clear" w:pos="360"/>
          <w:tab w:val="left" w:pos="1080"/>
        </w:tabs>
        <w:spacing w:before="327"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prior to the transaction, there were indications that the defendant had some control over the drugs.</w:t>
      </w:r>
    </w:p>
    <w:p>
      <w:pPr>
        <w:pageBreakBefore w:val="false"/>
        <w:spacing w:before="325" w:after="0" w:line="323"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[6. That the defendant had at some other time engaged in the sale of a controlled substance [marihuana] (or, the possession of a controlled substance [marihuana] with the intent to sell it).</w:t>
      </w:r>
      <w:r>
        <w:rPr>
          <w:rFonts w:ascii="Arial" w:hAnsi="Arial" w:eastAsia="Arial"/>
          <w:color w:val="000000"/>
          <w:spacing w:val="-5"/>
          <w:w w:val="100"/>
          <w:sz w:val="28"/>
          <w:vertAlign w:val="superscript"/>
          <w:lang w:val="en-US"/>
        </w:rPr>
        <w:t xml:space="preserve">8</w:t>
      </w:r>
      <w:r>
        <w:rPr>
          <w:rFonts w:ascii="Arial" w:hAnsi="Arial" w:eastAsia="Arial"/>
          <w:color w:val="000000"/>
          <w:spacing w:val="-5"/>
          <w:w w:val="100"/>
          <w:sz w:val="28"/>
          <w:vertAlign w:val="baseline"/>
          <w:lang w:val="en-US"/>
        </w:rPr>
        <w:t xml:space="preserve">]</w:t>
      </w:r>
    </w:p>
    <w:p>
      <w:pPr>
        <w:pageBreakBefore w:val="false"/>
        <w:spacing w:before="32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You may consider these and any other factors you believe to be relevant to determine whether the defendant acted solely as the agent of the buyer.</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 remind you that the agency defense relates only to this count (and count[s]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It does not relate to, and thus may not be considered, with respect to any other count.]</w:t>
      </w:r>
    </w:p>
    <w:p>
      <w:pPr>
        <w:pageBreakBefore w:val="false"/>
        <w:spacing w:before="330" w:after="5266"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Finally, although the defendant has raised the agency defense, that does not shift the burden of proof. The People are required to prove beyond a reasonable doubt that the defendant was not an agent of </w:t>
      </w:r>
      <w:r>
        <w:rPr>
          <w:rFonts w:ascii="Arial" w:hAnsi="Arial" w:eastAsia="Arial"/>
          <w:i w:val="true"/>
          <w:color w:val="000000"/>
          <w:spacing w:val="0"/>
          <w:w w:val="100"/>
          <w:sz w:val="29"/>
          <w:vertAlign w:val="baseline"/>
          <w:lang w:val="en-US"/>
        </w:rPr>
        <w:t xml:space="preserve">(</w:t>
      </w:r>
      <w:r>
        <w:rPr>
          <w:rFonts w:ascii="Arial" w:hAnsi="Arial" w:eastAsia="Arial"/>
          <w:i w:val="true"/>
          <w:color w:val="000000"/>
          <w:spacing w:val="0"/>
          <w:w w:val="100"/>
          <w:sz w:val="28"/>
          <w:u w:val="single"/>
          <w:vertAlign w:val="baseline"/>
          <w:lang w:val="en-US"/>
        </w:rPr>
        <w:t xml:space="preserve">specify name of buyer</w:t>
      </w:r>
      <w:r>
        <w:rPr>
          <w:rFonts w:ascii="Arial" w:hAnsi="Arial" w:eastAsia="Arial"/>
          <w:i w:val="true"/>
          <w:color w:val="000000"/>
          <w:spacing w:val="0"/>
          <w:w w:val="100"/>
          <w:sz w:val="29"/>
          <w:vertAlign w:val="baseline"/>
          <w:lang w:val="en-US"/>
        </w:rPr>
        <w:t xml:space="preserv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spacing w:before="330" w:after="5266" w:line="324" w:lineRule="exact"/>
        <w:sectPr>
          <w:type w:val="nextPage"/>
          <w:pgSz w:w="12240" w:h="15840" w:orient="portrait"/>
          <w:pgMar w:bottom="1024" w:top="1440" w:right="2145" w:left="2155"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continuous"/>
          <w:pgSz w:w="12240" w:h="15840" w:orient="portrait"/>
          <w:pgMar w:bottom="1024" w:top="1440" w:right="2150" w:left="2150" w:header="720" w:footer="720"/>
          <w:titlePg w:val="false"/>
          <w:textDirection w:val="lrTb"/>
        </w:sectPr>
      </w:pPr>
    </w:p>
    <w:p>
      <w:pPr>
        <w:pageBreakBefore w:val="false"/>
        <w:spacing w:before="11" w:after="0" w:line="297" w:lineRule="exact"/>
        <w:ind w:right="0" w:left="0" w:firstLine="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1.This instruction applies when the charged offense is the sale, or possession with intent to sell, of a controlled substance or marihuana, and the defense is properly raised by the defendant. The defense does not apply to mere possession of a controlled substance or marihuana. </w:t>
      </w:r>
      <w:r>
        <w:rPr>
          <w:rFonts w:ascii="Arial" w:hAnsi="Arial" w:eastAsia="Arial"/>
          <w:i w:val="true"/>
          <w:color w:val="000000"/>
          <w:spacing w:val="-4"/>
          <w:w w:val="100"/>
          <w:sz w:val="26"/>
          <w:vertAlign w:val="baseline"/>
          <w:lang w:val="en-US"/>
        </w:rPr>
        <w:t xml:space="preserve">People v. Sierra, </w:t>
      </w:r>
      <w:r>
        <w:rPr>
          <w:rFonts w:ascii="Arial" w:hAnsi="Arial" w:eastAsia="Arial"/>
          <w:color w:val="000000"/>
          <w:spacing w:val="-4"/>
          <w:w w:val="100"/>
          <w:sz w:val="26"/>
          <w:vertAlign w:val="baseline"/>
          <w:lang w:val="en-US"/>
        </w:rPr>
        <w:t xml:space="preserve">45 N.Y.2d 56 (1978). Nor does the agency defense apply to a charge of “criminal facilitation” [Penal Law article 115]. </w:t>
      </w:r>
      <w:r>
        <w:rPr>
          <w:rFonts w:ascii="Arial" w:hAnsi="Arial" w:eastAsia="Arial"/>
          <w:i w:val="true"/>
          <w:color w:val="000000"/>
          <w:spacing w:val="-4"/>
          <w:w w:val="100"/>
          <w:sz w:val="26"/>
          <w:vertAlign w:val="baseline"/>
          <w:lang w:val="en-US"/>
        </w:rPr>
        <w:t xml:space="preserve">People v Watson</w:t>
      </w:r>
      <w:r>
        <w:rPr>
          <w:rFonts w:ascii="Arial" w:hAnsi="Arial" w:eastAsia="Arial"/>
          <w:color w:val="000000"/>
          <w:spacing w:val="-4"/>
          <w:w w:val="100"/>
          <w:sz w:val="26"/>
          <w:vertAlign w:val="baseline"/>
          <w:lang w:val="en-US"/>
        </w:rPr>
        <w:t xml:space="preserve">, 20 N.Y.3d 182 (2012).</w:t>
      </w:r>
    </w:p>
    <w:p>
      <w:pPr>
        <w:pageBreakBefore w:val="false"/>
        <w:numPr>
          <w:ilvl w:val="0"/>
          <w:numId w:val="4"/>
        </w:numPr>
        <w:tabs>
          <w:tab w:val="clear" w:pos="288"/>
          <w:tab w:val="left" w:pos="288"/>
        </w:tabs>
        <w:spacing w:before="241" w:after="0" w:line="297" w:lineRule="exact"/>
        <w:ind w:right="0" w:left="0" w:firstLine="0"/>
        <w:jc w:val="both"/>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See People v Ortiz</w:t>
      </w:r>
      <w:r>
        <w:rPr>
          <w:rFonts w:ascii="Arial" w:hAnsi="Arial" w:eastAsia="Arial"/>
          <w:color w:val="000000"/>
          <w:spacing w:val="0"/>
          <w:w w:val="100"/>
          <w:sz w:val="26"/>
          <w:vertAlign w:val="baseline"/>
          <w:lang w:val="en-US"/>
        </w:rPr>
        <w:t xml:space="preserve">, 76 N.Y.2d 446, 448-49 (1990); </w:t>
      </w:r>
      <w:r>
        <w:rPr>
          <w:rFonts w:ascii="Arial" w:hAnsi="Arial" w:eastAsia="Arial"/>
          <w:i w:val="true"/>
          <w:color w:val="000000"/>
          <w:spacing w:val="0"/>
          <w:w w:val="100"/>
          <w:sz w:val="26"/>
          <w:vertAlign w:val="baseline"/>
          <w:lang w:val="en-US"/>
        </w:rPr>
        <w:t xml:space="preserve">People v Feldman</w:t>
      </w:r>
      <w:r>
        <w:rPr>
          <w:rFonts w:ascii="Arial" w:hAnsi="Arial" w:eastAsia="Arial"/>
          <w:color w:val="000000"/>
          <w:spacing w:val="0"/>
          <w:w w:val="100"/>
          <w:sz w:val="26"/>
          <w:vertAlign w:val="baseline"/>
          <w:lang w:val="en-US"/>
        </w:rPr>
        <w:t xml:space="preserve">, 50 N.Y.2d 500, 503 (1980).</w:t>
      </w:r>
    </w:p>
    <w:p>
      <w:pPr>
        <w:pageBreakBefore w:val="false"/>
        <w:numPr>
          <w:ilvl w:val="0"/>
          <w:numId w:val="4"/>
        </w:numPr>
        <w:tabs>
          <w:tab w:val="clear" w:pos="288"/>
          <w:tab w:val="left" w:pos="288"/>
        </w:tabs>
        <w:spacing w:before="240" w:after="0" w:line="297" w:lineRule="exact"/>
        <w:ind w:right="0" w:left="0" w:firstLine="0"/>
        <w:jc w:val="both"/>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See People v Herring</w:t>
      </w:r>
      <w:r>
        <w:rPr>
          <w:rFonts w:ascii="Arial" w:hAnsi="Arial" w:eastAsia="Arial"/>
          <w:color w:val="000000"/>
          <w:spacing w:val="0"/>
          <w:w w:val="100"/>
          <w:sz w:val="26"/>
          <w:vertAlign w:val="baseline"/>
          <w:lang w:val="en-US"/>
        </w:rPr>
        <w:t xml:space="preserve">, </w:t>
      </w:r>
      <w:r>
        <w:rPr>
          <w:rFonts w:ascii="Arial" w:hAnsi="Arial" w:eastAsia="Arial"/>
          <w:i w:val="true"/>
          <w:color w:val="000000"/>
          <w:spacing w:val="0"/>
          <w:w w:val="100"/>
          <w:sz w:val="26"/>
          <w:vertAlign w:val="baseline"/>
          <w:lang w:val="en-US"/>
        </w:rPr>
        <w:t xml:space="preserve">supra</w:t>
      </w:r>
      <w:r>
        <w:rPr>
          <w:rFonts w:ascii="Arial" w:hAnsi="Arial" w:eastAsia="Arial"/>
          <w:color w:val="000000"/>
          <w:spacing w:val="0"/>
          <w:w w:val="100"/>
          <w:sz w:val="26"/>
          <w:vertAlign w:val="baseline"/>
          <w:lang w:val="en-US"/>
        </w:rPr>
        <w:t xml:space="preserve">, 83 N.Y.2d 780, 783 (1994).</w:t>
      </w:r>
    </w:p>
    <w:p>
      <w:pPr>
        <w:pageBreakBefore w:val="false"/>
        <w:numPr>
          <w:ilvl w:val="0"/>
          <w:numId w:val="4"/>
        </w:numPr>
        <w:tabs>
          <w:tab w:val="clear" w:pos="288"/>
          <w:tab w:val="left" w:pos="288"/>
        </w:tabs>
        <w:spacing w:before="260" w:after="0" w:line="289" w:lineRule="exact"/>
        <w:ind w:right="0" w:left="0" w:firstLine="0"/>
        <w:jc w:val="both"/>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See People v Herring, supra</w:t>
      </w:r>
      <w:r>
        <w:rPr>
          <w:rFonts w:ascii="Arial" w:hAnsi="Arial" w:eastAsia="Arial"/>
          <w:color w:val="000000"/>
          <w:spacing w:val="0"/>
          <w:w w:val="100"/>
          <w:sz w:val="26"/>
          <w:vertAlign w:val="baseline"/>
          <w:lang w:val="en-US"/>
        </w:rPr>
        <w:t xml:space="preserve">, 83 N.Y.2d at 782; </w:t>
      </w:r>
      <w:r>
        <w:rPr>
          <w:rFonts w:ascii="Arial" w:hAnsi="Arial" w:eastAsia="Arial"/>
          <w:i w:val="true"/>
          <w:color w:val="000000"/>
          <w:spacing w:val="0"/>
          <w:w w:val="100"/>
          <w:sz w:val="26"/>
          <w:vertAlign w:val="baseline"/>
          <w:lang w:val="en-US"/>
        </w:rPr>
        <w:t xml:space="preserve">People v Lam Lek Chong</w:t>
      </w:r>
      <w:r>
        <w:rPr>
          <w:rFonts w:ascii="Arial" w:hAnsi="Arial" w:eastAsia="Arial"/>
          <w:color w:val="000000"/>
          <w:spacing w:val="0"/>
          <w:w w:val="100"/>
          <w:sz w:val="26"/>
          <w:vertAlign w:val="baseline"/>
          <w:lang w:val="en-US"/>
        </w:rPr>
        <w:t xml:space="preserve">, 45 N.Y.2d 64, 74-75 (1978); </w:t>
      </w:r>
      <w:r>
        <w:rPr>
          <w:rFonts w:ascii="Arial" w:hAnsi="Arial" w:eastAsia="Arial"/>
          <w:i w:val="true"/>
          <w:color w:val="000000"/>
          <w:spacing w:val="0"/>
          <w:w w:val="100"/>
          <w:sz w:val="26"/>
          <w:vertAlign w:val="baseline"/>
          <w:lang w:val="en-US"/>
        </w:rPr>
        <w:t xml:space="preserve">People v Page</w:t>
      </w:r>
      <w:r>
        <w:rPr>
          <w:rFonts w:ascii="Arial" w:hAnsi="Arial" w:eastAsia="Arial"/>
          <w:color w:val="000000"/>
          <w:spacing w:val="0"/>
          <w:w w:val="100"/>
          <w:sz w:val="26"/>
          <w:vertAlign w:val="baseline"/>
          <w:lang w:val="en-US"/>
        </w:rPr>
        <w:t xml:space="preserve">, 260 A.D.2d 153, 154 (1</w:t>
      </w:r>
      <w:r>
        <w:rPr>
          <w:rFonts w:ascii="Arial" w:hAnsi="Arial" w:eastAsia="Arial"/>
          <w:color w:val="000000"/>
          <w:spacing w:val="0"/>
          <w:w w:val="100"/>
          <w:sz w:val="26"/>
          <w:vertAlign w:val="superscript"/>
          <w:lang w:val="en-US"/>
        </w:rPr>
        <w:t xml:space="preserve">st</w:t>
      </w:r>
      <w:r>
        <w:rPr>
          <w:rFonts w:ascii="Arial" w:hAnsi="Arial" w:eastAsia="Arial"/>
          <w:color w:val="000000"/>
          <w:spacing w:val="0"/>
          <w:w w:val="100"/>
          <w:sz w:val="26"/>
          <w:vertAlign w:val="baseline"/>
          <w:lang w:val="en-US"/>
        </w:rPr>
        <w:t xml:space="preserve"> Dept. 1999).</w:t>
      </w:r>
    </w:p>
    <w:p>
      <w:pPr>
        <w:pageBreakBefore w:val="false"/>
        <w:numPr>
          <w:ilvl w:val="0"/>
          <w:numId w:val="4"/>
        </w:numPr>
        <w:tabs>
          <w:tab w:val="clear" w:pos="288"/>
          <w:tab w:val="left" w:pos="288"/>
        </w:tabs>
        <w:spacing w:before="249" w:after="0" w:line="297" w:lineRule="exact"/>
        <w:ind w:right="0" w:left="0" w:firstLine="0"/>
        <w:jc w:val="both"/>
        <w:textAlignment w:val="baseline"/>
        <w:rPr>
          <w:rFonts w:ascii="Arial" w:hAnsi="Arial" w:eastAsia="Arial"/>
          <w:color w:val="000000"/>
          <w:spacing w:val="-2"/>
          <w:w w:val="100"/>
          <w:sz w:val="26"/>
          <w:vertAlign w:val="baseline"/>
          <w:lang w:val="en-US"/>
        </w:rPr>
      </w:pPr>
      <w:r>
        <w:rPr>
          <w:rFonts w:ascii="Arial" w:hAnsi="Arial" w:eastAsia="Arial"/>
          <w:color w:val="000000"/>
          <w:spacing w:val="-2"/>
          <w:w w:val="100"/>
          <w:sz w:val="26"/>
          <w:vertAlign w:val="baseline"/>
          <w:lang w:val="en-US"/>
        </w:rPr>
        <w:t xml:space="preserve">For cases discussing the factors that may be considered, </w:t>
      </w:r>
      <w:r>
        <w:rPr>
          <w:rFonts w:ascii="Arial" w:hAnsi="Arial" w:eastAsia="Arial"/>
          <w:i w:val="true"/>
          <w:color w:val="000000"/>
          <w:spacing w:val="-2"/>
          <w:w w:val="100"/>
          <w:sz w:val="26"/>
          <w:vertAlign w:val="baseline"/>
          <w:lang w:val="en-US"/>
        </w:rPr>
        <w:t xml:space="preserve">see, e.g., People v Herring, supra</w:t>
      </w:r>
      <w:r>
        <w:rPr>
          <w:rFonts w:ascii="Arial" w:hAnsi="Arial" w:eastAsia="Arial"/>
          <w:color w:val="000000"/>
          <w:spacing w:val="-2"/>
          <w:w w:val="100"/>
          <w:sz w:val="26"/>
          <w:vertAlign w:val="baseline"/>
          <w:lang w:val="en-US"/>
        </w:rPr>
        <w:t xml:space="preserve">, 83 N.Y.2d at 782-783;</w:t>
      </w:r>
      <w:r>
        <w:rPr>
          <w:rFonts w:ascii="Arial" w:hAnsi="Arial" w:eastAsia="Arial"/>
          <w:i w:val="true"/>
          <w:color w:val="000000"/>
          <w:spacing w:val="-2"/>
          <w:w w:val="100"/>
          <w:sz w:val="26"/>
          <w:vertAlign w:val="baseline"/>
          <w:lang w:val="en-US"/>
        </w:rPr>
        <w:t xml:space="preserve">People v Argibay, </w:t>
      </w:r>
      <w:r>
        <w:rPr>
          <w:rFonts w:ascii="Arial" w:hAnsi="Arial" w:eastAsia="Arial"/>
          <w:color w:val="000000"/>
          <w:spacing w:val="-2"/>
          <w:w w:val="100"/>
          <w:sz w:val="26"/>
          <w:vertAlign w:val="baseline"/>
          <w:lang w:val="en-US"/>
        </w:rPr>
        <w:t xml:space="preserve">45 N.Y.2d 45, 53-54 (1978); </w:t>
      </w:r>
      <w:r>
        <w:rPr>
          <w:rFonts w:ascii="Arial" w:hAnsi="Arial" w:eastAsia="Arial"/>
          <w:i w:val="true"/>
          <w:color w:val="000000"/>
          <w:spacing w:val="-2"/>
          <w:w w:val="100"/>
          <w:sz w:val="26"/>
          <w:vertAlign w:val="baseline"/>
          <w:lang w:val="en-US"/>
        </w:rPr>
        <w:t xml:space="preserve">People v Lam Lek Chong, supra</w:t>
      </w:r>
      <w:r>
        <w:rPr>
          <w:rFonts w:ascii="Arial" w:hAnsi="Arial" w:eastAsia="Arial"/>
          <w:color w:val="000000"/>
          <w:spacing w:val="-2"/>
          <w:w w:val="100"/>
          <w:sz w:val="26"/>
          <w:vertAlign w:val="baseline"/>
          <w:lang w:val="en-US"/>
        </w:rPr>
        <w:t xml:space="preserve">, 45 N.Y.2d at 74-76; </w:t>
      </w:r>
      <w:r>
        <w:rPr>
          <w:rFonts w:ascii="Arial" w:hAnsi="Arial" w:eastAsia="Arial"/>
          <w:i w:val="true"/>
          <w:color w:val="000000"/>
          <w:spacing w:val="-2"/>
          <w:w w:val="100"/>
          <w:sz w:val="26"/>
          <w:vertAlign w:val="baseline"/>
          <w:lang w:val="en-US"/>
        </w:rPr>
        <w:t xml:space="preserve">People v Roche</w:t>
      </w:r>
      <w:r>
        <w:rPr>
          <w:rFonts w:ascii="Arial" w:hAnsi="Arial" w:eastAsia="Arial"/>
          <w:color w:val="000000"/>
          <w:spacing w:val="-2"/>
          <w:w w:val="100"/>
          <w:sz w:val="26"/>
          <w:vertAlign w:val="baseline"/>
          <w:lang w:val="en-US"/>
        </w:rPr>
        <w:t xml:space="preserve">, 45 N.Y.2d 78, 85 (1978); </w:t>
      </w:r>
      <w:r>
        <w:rPr>
          <w:rFonts w:ascii="Arial" w:hAnsi="Arial" w:eastAsia="Arial"/>
          <w:i w:val="true"/>
          <w:color w:val="000000"/>
          <w:spacing w:val="-2"/>
          <w:w w:val="100"/>
          <w:sz w:val="26"/>
          <w:vertAlign w:val="baseline"/>
          <w:lang w:val="en-US"/>
        </w:rPr>
        <w:t xml:space="preserve">People v Page</w:t>
      </w:r>
      <w:r>
        <w:rPr>
          <w:rFonts w:ascii="Arial" w:hAnsi="Arial" w:eastAsia="Arial"/>
          <w:color w:val="000000"/>
          <w:spacing w:val="-2"/>
          <w:w w:val="100"/>
          <w:sz w:val="26"/>
          <w:vertAlign w:val="baseline"/>
          <w:lang w:val="en-US"/>
        </w:rPr>
        <w:t xml:space="preserve">, </w:t>
      </w:r>
      <w:r>
        <w:rPr>
          <w:rFonts w:ascii="Arial" w:hAnsi="Arial" w:eastAsia="Arial"/>
          <w:i w:val="true"/>
          <w:color w:val="000000"/>
          <w:spacing w:val="-2"/>
          <w:w w:val="100"/>
          <w:sz w:val="26"/>
          <w:vertAlign w:val="baseline"/>
          <w:lang w:val="en-US"/>
        </w:rPr>
        <w:t xml:space="preserve">supra</w:t>
      </w:r>
      <w:r>
        <w:rPr>
          <w:rFonts w:ascii="Arial" w:hAnsi="Arial" w:eastAsia="Arial"/>
          <w:color w:val="000000"/>
          <w:spacing w:val="-2"/>
          <w:w w:val="100"/>
          <w:sz w:val="26"/>
          <w:vertAlign w:val="baseline"/>
          <w:lang w:val="en-US"/>
        </w:rPr>
        <w:t xml:space="preserve">, 260 A.D.2d at 154-56.</w:t>
      </w:r>
    </w:p>
    <w:p>
      <w:pPr>
        <w:pageBreakBefore w:val="false"/>
        <w:numPr>
          <w:ilvl w:val="0"/>
          <w:numId w:val="4"/>
        </w:numPr>
        <w:tabs>
          <w:tab w:val="clear" w:pos="288"/>
          <w:tab w:val="left" w:pos="288"/>
        </w:tabs>
        <w:spacing w:before="246" w:after="0" w:line="297" w:lineRule="exact"/>
        <w:ind w:right="0" w:left="0" w:firstLine="0"/>
        <w:jc w:val="both"/>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People v. Lam Lek Chong, supra, </w:t>
      </w:r>
      <w:r>
        <w:rPr>
          <w:rFonts w:ascii="Arial" w:hAnsi="Arial" w:eastAsia="Arial"/>
          <w:color w:val="000000"/>
          <w:spacing w:val="0"/>
          <w:w w:val="100"/>
          <w:sz w:val="26"/>
          <w:vertAlign w:val="baseline"/>
          <w:lang w:val="en-US"/>
        </w:rPr>
        <w:t xml:space="preserve">45 N.Y.2d at 75.</w:t>
      </w:r>
    </w:p>
    <w:p>
      <w:pPr>
        <w:pageBreakBefore w:val="false"/>
        <w:numPr>
          <w:ilvl w:val="0"/>
          <w:numId w:val="4"/>
        </w:numPr>
        <w:tabs>
          <w:tab w:val="clear" w:pos="288"/>
          <w:tab w:val="left" w:pos="288"/>
        </w:tabs>
        <w:spacing w:before="235" w:after="0" w:line="297" w:lineRule="exact"/>
        <w:ind w:right="0" w:left="0" w:firstLine="0"/>
        <w:jc w:val="both"/>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See, e.g</w:t>
      </w:r>
      <w:r>
        <w:rPr>
          <w:rFonts w:ascii="Arial" w:hAnsi="Arial" w:eastAsia="Arial"/>
          <w:color w:val="000000"/>
          <w:spacing w:val="0"/>
          <w:w w:val="100"/>
          <w:sz w:val="26"/>
          <w:vertAlign w:val="baseline"/>
          <w:lang w:val="en-US"/>
        </w:rPr>
        <w:t xml:space="preserve">., cases cited in footnote 5.</w:t>
      </w:r>
    </w:p>
    <w:p>
      <w:pPr>
        <w:pageBreakBefore w:val="false"/>
        <w:numPr>
          <w:ilvl w:val="0"/>
          <w:numId w:val="4"/>
        </w:numPr>
        <w:tabs>
          <w:tab w:val="clear" w:pos="288"/>
          <w:tab w:val="left" w:pos="288"/>
        </w:tabs>
        <w:spacing w:before="241" w:after="4793" w:line="297" w:lineRule="exact"/>
        <w:ind w:right="0" w:left="0" w:firstLine="0"/>
        <w:jc w:val="both"/>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People v. Lam Lek Chong, supra</w:t>
      </w:r>
      <w:r>
        <w:rPr>
          <w:rFonts w:ascii="Arial" w:hAnsi="Arial" w:eastAsia="Arial"/>
          <w:color w:val="000000"/>
          <w:spacing w:val="0"/>
          <w:w w:val="100"/>
          <w:sz w:val="26"/>
          <w:vertAlign w:val="baseline"/>
          <w:lang w:val="en-US"/>
        </w:rPr>
        <w:t xml:space="preserve">, 45 N.Y.2d at 75.</w:t>
      </w:r>
    </w:p>
    <w:p>
      <w:pPr>
        <w:spacing w:before="241" w:after="4793" w:line="297" w:lineRule="exact"/>
        <w:sectPr>
          <w:type w:val="nextPage"/>
          <w:pgSz w:w="12240" w:h="15840" w:orient="portrait"/>
          <w:pgMar w:bottom="1024" w:top="1440" w:right="2134" w:left="2158"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3"/>
        <w:w w:val="100"/>
        <w:sz w:val="28"/>
        <w:vertAlign w:val="baseline"/>
        <w:lang w:val="en-US"/>
      </w:rPr>
    </w:lvl>
  </w:abstractNum>
  <w:abstractNum w:abstractNumId="2">
    <w:lvl w:ilvl="0">
      <w:start w:val="1"/>
      <w:numFmt w:val="decimal"/>
      <w:lvlText w:val="%1."/>
      <w:pPr>
        <w:tabs>
          <w:tab w:val="left" w:pos="720"/>
        </w:tabs>
      </w:pPr>
      <w:rPr>
        <w:rFonts w:ascii="Arial" w:hAnsi="Arial" w:eastAsia="Arial"/>
        <w:color w:val="000000"/>
        <w:spacing w:val="0"/>
        <w:w w:val="100"/>
        <w:sz w:val="28"/>
        <w:vertAlign w:val="baseline"/>
        <w:lang w:val="en-US"/>
      </w:rPr>
    </w:lvl>
  </w:abstractNum>
  <w:abstractNum w:abstractNumId="3">
    <w:lvl w:ilvl="0">
      <w:start w:val="4"/>
      <w:numFmt w:val="decimal"/>
      <w:lvlText w:val="%1."/>
      <w:pPr>
        <w:tabs>
          <w:tab w:val="left" w:pos="720"/>
        </w:tabs>
      </w:pPr>
      <w:rPr>
        <w:rFonts w:ascii="Arial" w:hAnsi="Arial" w:eastAsia="Arial"/>
        <w:color w:val="000000"/>
        <w:spacing w:val="0"/>
        <w:w w:val="100"/>
        <w:sz w:val="28"/>
        <w:vertAlign w:val="baseline"/>
        <w:lang w:val="en-US"/>
      </w:rPr>
    </w:lvl>
  </w:abstractNum>
  <w:abstractNum w:abstractNumId="4">
    <w:lvl w:ilvl="0">
      <w:start w:val="2"/>
      <w:numFmt w:val="decimal"/>
      <w:lvlText w:val="%1."/>
      <w:pPr>
        <w:tabs>
          <w:tab w:val="left" w:pos="288"/>
        </w:tabs>
      </w:pPr>
      <w:rPr>
        <w:rFonts w:ascii="Arial" w:hAnsi="Arial" w:eastAsia="Arial"/>
        <w:i w:val="true"/>
        <w:color w:val="000000"/>
        <w:spacing w:val="0"/>
        <w:w w:val="100"/>
        <w:sz w:val="26"/>
        <w:vertAlign w:val="baseline"/>
        <w:lang w:val="en-U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