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B9F70" w14:textId="77777777" w:rsidR="009F5E44" w:rsidRDefault="009F5E44">
      <w:pPr>
        <w:kinsoku w:val="0"/>
        <w:overflowPunct w:val="0"/>
        <w:autoSpaceDE/>
        <w:autoSpaceDN/>
        <w:adjustRightInd/>
        <w:spacing w:before="8" w:line="331" w:lineRule="exact"/>
        <w:jc w:val="center"/>
        <w:textAlignment w:val="baseline"/>
        <w:rPr>
          <w:rFonts w:ascii="Arial" w:hAnsi="Arial" w:cs="Arial"/>
          <w:b/>
          <w:bCs/>
          <w:sz w:val="28"/>
          <w:szCs w:val="28"/>
        </w:rPr>
      </w:pPr>
      <w:bookmarkStart w:id="0" w:name="_GoBack"/>
      <w:bookmarkEnd w:id="0"/>
      <w:r>
        <w:rPr>
          <w:rFonts w:ascii="Arial" w:hAnsi="Arial" w:cs="Arial"/>
          <w:b/>
          <w:bCs/>
          <w:sz w:val="28"/>
          <w:szCs w:val="28"/>
        </w:rPr>
        <w:t>Geographic Jurisdiction</w:t>
      </w:r>
      <w:r>
        <w:rPr>
          <w:rFonts w:ascii="Arial" w:hAnsi="Arial" w:cs="Arial"/>
          <w:b/>
          <w:bCs/>
          <w:sz w:val="28"/>
          <w:szCs w:val="28"/>
        </w:rPr>
        <w:br/>
        <w:t>Territorial Jurisdiction of the State</w:t>
      </w:r>
      <w:r>
        <w:rPr>
          <w:rFonts w:ascii="Arial" w:hAnsi="Arial" w:cs="Arial"/>
          <w:b/>
          <w:bCs/>
          <w:sz w:val="28"/>
          <w:szCs w:val="28"/>
        </w:rPr>
        <w:br/>
        <w:t>CPL 20.20(1)</w:t>
      </w:r>
      <w:r>
        <w:rPr>
          <w:rFonts w:ascii="Arial" w:hAnsi="Arial" w:cs="Arial"/>
          <w:b/>
          <w:bCs/>
          <w:sz w:val="28"/>
          <w:szCs w:val="28"/>
        </w:rPr>
        <w:br/>
        <w:t>Conduct Within The State</w:t>
      </w:r>
    </w:p>
    <w:p w14:paraId="63605929" w14:textId="77777777" w:rsidR="009F5E44" w:rsidRDefault="009F5E44">
      <w:pPr>
        <w:kinsoku w:val="0"/>
        <w:overflowPunct w:val="0"/>
        <w:autoSpaceDE/>
        <w:autoSpaceDN/>
        <w:adjustRightInd/>
        <w:spacing w:before="319" w:line="324" w:lineRule="exact"/>
        <w:ind w:firstLine="720"/>
        <w:jc w:val="both"/>
        <w:textAlignment w:val="baseline"/>
        <w:rPr>
          <w:rFonts w:ascii="Arial" w:hAnsi="Arial" w:cs="Arial"/>
          <w:spacing w:val="-3"/>
          <w:sz w:val="17"/>
          <w:szCs w:val="17"/>
        </w:rPr>
      </w:pPr>
      <w:r>
        <w:rPr>
          <w:rFonts w:ascii="Arial" w:hAnsi="Arial" w:cs="Arial"/>
          <w:spacing w:val="-3"/>
          <w:sz w:val="28"/>
          <w:szCs w:val="28"/>
        </w:rPr>
        <w:t xml:space="preserve">Members of the jury before you begin your deliberations on whether the People have proven the defendant guilty beyond a reasonable doubt of </w:t>
      </w:r>
      <w:r>
        <w:rPr>
          <w:rFonts w:ascii="Arial" w:hAnsi="Arial" w:cs="Arial"/>
          <w:spacing w:val="-3"/>
          <w:sz w:val="30"/>
          <w:szCs w:val="30"/>
          <w:u w:val="single"/>
        </w:rPr>
        <w:t>(</w:t>
      </w:r>
      <w:r>
        <w:rPr>
          <w:rFonts w:ascii="Arial" w:hAnsi="Arial" w:cs="Arial"/>
          <w:i/>
          <w:iCs/>
          <w:spacing w:val="-3"/>
          <w:sz w:val="28"/>
          <w:szCs w:val="28"/>
          <w:u w:val="single"/>
        </w:rPr>
        <w:t>specify the crime(s) for which jurisdiction is in issue</w:t>
      </w:r>
      <w:r>
        <w:rPr>
          <w:rFonts w:ascii="Arial" w:hAnsi="Arial" w:cs="Arial"/>
          <w:spacing w:val="-3"/>
          <w:sz w:val="30"/>
          <w:szCs w:val="30"/>
          <w:u w:val="single"/>
        </w:rPr>
        <w:t>),</w:t>
      </w:r>
      <w:r>
        <w:rPr>
          <w:rFonts w:ascii="Arial" w:hAnsi="Arial" w:cs="Arial"/>
          <w:spacing w:val="-3"/>
          <w:sz w:val="28"/>
          <w:szCs w:val="28"/>
        </w:rPr>
        <w:t xml:space="preserve"> you must first determine whether the State of New York has jurisdiction to prosecute (that/those) crime(s).</w:t>
      </w:r>
      <w:r>
        <w:rPr>
          <w:rFonts w:ascii="Arial" w:hAnsi="Arial" w:cs="Arial"/>
          <w:spacing w:val="-3"/>
          <w:sz w:val="28"/>
          <w:szCs w:val="28"/>
          <w:vertAlign w:val="superscript"/>
        </w:rPr>
        <w:t>1</w:t>
      </w:r>
    </w:p>
    <w:p w14:paraId="0249730F" w14:textId="77777777" w:rsidR="009F5E44" w:rsidRDefault="009F5E44">
      <w:pPr>
        <w:kinsoku w:val="0"/>
        <w:overflowPunct w:val="0"/>
        <w:autoSpaceDE/>
        <w:autoSpaceDN/>
        <w:adjustRightInd/>
        <w:spacing w:before="332" w:line="324" w:lineRule="exact"/>
        <w:ind w:firstLine="720"/>
        <w:jc w:val="both"/>
        <w:textAlignment w:val="baseline"/>
        <w:rPr>
          <w:rFonts w:ascii="Arial" w:hAnsi="Arial" w:cs="Arial"/>
          <w:sz w:val="28"/>
          <w:szCs w:val="28"/>
        </w:rPr>
      </w:pPr>
      <w:r>
        <w:rPr>
          <w:rFonts w:ascii="Arial" w:hAnsi="Arial" w:cs="Arial"/>
          <w:sz w:val="28"/>
          <w:szCs w:val="28"/>
        </w:rPr>
        <w:t>Under our law, a person may be convicted in New York State of an offense defined by the laws of this state and committed by that person’s own conduct [or by the conduct of another with whom he/she was acting in concert</w:t>
      </w:r>
      <w:r>
        <w:rPr>
          <w:rFonts w:ascii="Arial" w:hAnsi="Arial" w:cs="Arial"/>
          <w:sz w:val="28"/>
          <w:szCs w:val="28"/>
          <w:vertAlign w:val="superscript"/>
        </w:rPr>
        <w:t>2</w:t>
      </w:r>
      <w:r>
        <w:rPr>
          <w:rFonts w:ascii="Arial" w:hAnsi="Arial" w:cs="Arial"/>
          <w:sz w:val="28"/>
          <w:szCs w:val="28"/>
        </w:rPr>
        <w:t>] when such conduct occurred within this state sufficient to establish:</w:t>
      </w:r>
    </w:p>
    <w:p w14:paraId="56CFAEE9" w14:textId="77777777" w:rsidR="009F5E44" w:rsidRDefault="009F5E44">
      <w:pPr>
        <w:kinsoku w:val="0"/>
        <w:overflowPunct w:val="0"/>
        <w:autoSpaceDE/>
        <w:autoSpaceDN/>
        <w:adjustRightInd/>
        <w:spacing w:before="329" w:line="321" w:lineRule="exact"/>
        <w:ind w:left="720"/>
        <w:textAlignment w:val="baseline"/>
        <w:rPr>
          <w:rFonts w:ascii="Arial" w:hAnsi="Arial" w:cs="Arial"/>
          <w:i/>
          <w:iCs/>
          <w:sz w:val="28"/>
          <w:szCs w:val="28"/>
          <w:u w:val="single"/>
        </w:rPr>
      </w:pPr>
      <w:r>
        <w:rPr>
          <w:rFonts w:ascii="Arial" w:hAnsi="Arial" w:cs="Arial"/>
          <w:i/>
          <w:iCs/>
          <w:sz w:val="28"/>
          <w:szCs w:val="28"/>
          <w:u w:val="single"/>
        </w:rPr>
        <w:t>Select appropriate alternative(s):</w:t>
      </w:r>
    </w:p>
    <w:p w14:paraId="7875FDC8" w14:textId="77777777" w:rsidR="009F5E44" w:rsidRDefault="009F5E44">
      <w:pPr>
        <w:kinsoku w:val="0"/>
        <w:overflowPunct w:val="0"/>
        <w:autoSpaceDE/>
        <w:autoSpaceDN/>
        <w:adjustRightInd/>
        <w:spacing w:before="320" w:line="324" w:lineRule="exact"/>
        <w:ind w:left="720" w:firstLine="720"/>
        <w:jc w:val="both"/>
        <w:textAlignment w:val="baseline"/>
        <w:rPr>
          <w:rFonts w:ascii="Arial" w:hAnsi="Arial" w:cs="Arial"/>
          <w:i/>
          <w:iCs/>
          <w:sz w:val="28"/>
          <w:szCs w:val="28"/>
        </w:rPr>
      </w:pPr>
      <w:r>
        <w:rPr>
          <w:rFonts w:ascii="Arial" w:hAnsi="Arial" w:cs="Arial"/>
          <w:sz w:val="28"/>
          <w:szCs w:val="28"/>
        </w:rPr>
        <w:t>One or more of the elements of such offense as I have defined [will define] those elements for you</w:t>
      </w:r>
      <w:r>
        <w:rPr>
          <w:rFonts w:ascii="Arial" w:hAnsi="Arial" w:cs="Arial"/>
          <w:i/>
          <w:iCs/>
          <w:sz w:val="28"/>
          <w:szCs w:val="28"/>
        </w:rPr>
        <w:t>;</w:t>
      </w:r>
    </w:p>
    <w:p w14:paraId="6195CA08" w14:textId="77777777" w:rsidR="009F5E44" w:rsidRDefault="009F5E44">
      <w:pPr>
        <w:kinsoku w:val="0"/>
        <w:overflowPunct w:val="0"/>
        <w:autoSpaceDE/>
        <w:autoSpaceDN/>
        <w:adjustRightInd/>
        <w:spacing w:before="321" w:line="324" w:lineRule="exact"/>
        <w:ind w:left="720" w:firstLine="720"/>
        <w:jc w:val="both"/>
        <w:textAlignment w:val="baseline"/>
        <w:rPr>
          <w:rFonts w:ascii="Arial" w:hAnsi="Arial" w:cs="Arial"/>
          <w:sz w:val="28"/>
          <w:szCs w:val="28"/>
        </w:rPr>
      </w:pPr>
      <w:r>
        <w:rPr>
          <w:rFonts w:ascii="Arial" w:hAnsi="Arial" w:cs="Arial"/>
          <w:sz w:val="28"/>
          <w:szCs w:val="28"/>
        </w:rPr>
        <w:t>An attempt to commit such offense as I have defined [will now define] such an attempt;</w:t>
      </w:r>
    </w:p>
    <w:p w14:paraId="4A746FCB" w14:textId="77777777" w:rsidR="009F5E44" w:rsidRDefault="009F5E44">
      <w:pPr>
        <w:kinsoku w:val="0"/>
        <w:overflowPunct w:val="0"/>
        <w:autoSpaceDE/>
        <w:autoSpaceDN/>
        <w:adjustRightInd/>
        <w:spacing w:before="320" w:line="324" w:lineRule="exact"/>
        <w:ind w:left="720" w:firstLine="720"/>
        <w:jc w:val="both"/>
        <w:textAlignment w:val="baseline"/>
        <w:rPr>
          <w:rFonts w:ascii="Arial" w:hAnsi="Arial" w:cs="Arial"/>
          <w:i/>
          <w:iCs/>
          <w:sz w:val="17"/>
          <w:szCs w:val="17"/>
        </w:rPr>
      </w:pPr>
      <w:r>
        <w:rPr>
          <w:rFonts w:ascii="Arial" w:hAnsi="Arial" w:cs="Arial"/>
          <w:sz w:val="28"/>
          <w:szCs w:val="28"/>
        </w:rPr>
        <w:t>A conspiracy [or criminal solicitation] to commit such offense</w:t>
      </w:r>
      <w:r>
        <w:rPr>
          <w:rFonts w:ascii="Arial" w:hAnsi="Arial" w:cs="Arial"/>
          <w:sz w:val="28"/>
          <w:szCs w:val="28"/>
          <w:vertAlign w:val="superscript"/>
        </w:rPr>
        <w:t>3</w:t>
      </w:r>
      <w:r>
        <w:rPr>
          <w:rFonts w:ascii="Arial" w:hAnsi="Arial" w:cs="Arial"/>
          <w:sz w:val="28"/>
          <w:szCs w:val="28"/>
        </w:rPr>
        <w:t xml:space="preserve"> as I have defined [will now define] such a conspiracy [or criminal solicitation].</w:t>
      </w:r>
      <w:r>
        <w:rPr>
          <w:rFonts w:ascii="Arial" w:hAnsi="Arial" w:cs="Arial"/>
          <w:i/>
          <w:iCs/>
          <w:sz w:val="28"/>
          <w:szCs w:val="28"/>
          <w:vertAlign w:val="superscript"/>
        </w:rPr>
        <w:t>4</w:t>
      </w:r>
    </w:p>
    <w:p w14:paraId="6FF1A53F" w14:textId="77777777" w:rsidR="009F5E44" w:rsidRDefault="009F5E44">
      <w:pPr>
        <w:kinsoku w:val="0"/>
        <w:overflowPunct w:val="0"/>
        <w:autoSpaceDE/>
        <w:autoSpaceDN/>
        <w:adjustRightInd/>
        <w:spacing w:before="328" w:line="324" w:lineRule="exact"/>
        <w:ind w:left="1440"/>
        <w:textAlignment w:val="baseline"/>
        <w:rPr>
          <w:rFonts w:ascii="Arial" w:hAnsi="Arial" w:cs="Arial"/>
          <w:sz w:val="28"/>
          <w:szCs w:val="28"/>
        </w:rPr>
      </w:pPr>
      <w:r>
        <w:rPr>
          <w:rFonts w:ascii="Arial" w:hAnsi="Arial" w:cs="Arial"/>
          <w:sz w:val="28"/>
          <w:szCs w:val="28"/>
        </w:rPr>
        <w:t xml:space="preserve">NOTE: </w:t>
      </w:r>
      <w:r>
        <w:rPr>
          <w:rFonts w:ascii="Arial" w:hAnsi="Arial" w:cs="Arial"/>
          <w:i/>
          <w:iCs/>
          <w:sz w:val="28"/>
          <w:szCs w:val="28"/>
        </w:rPr>
        <w:t>Add one or more as appropriate</w:t>
      </w:r>
      <w:r>
        <w:rPr>
          <w:rFonts w:ascii="Arial" w:hAnsi="Arial" w:cs="Arial"/>
          <w:sz w:val="28"/>
          <w:szCs w:val="28"/>
        </w:rPr>
        <w:t>:</w:t>
      </w:r>
    </w:p>
    <w:p w14:paraId="245D4E4F" w14:textId="77777777" w:rsidR="009F5E44" w:rsidRDefault="009F5E44">
      <w:pPr>
        <w:kinsoku w:val="0"/>
        <w:overflowPunct w:val="0"/>
        <w:autoSpaceDE/>
        <w:autoSpaceDN/>
        <w:adjustRightInd/>
        <w:spacing w:before="327" w:line="324" w:lineRule="exact"/>
        <w:ind w:left="1440" w:firstLine="720"/>
        <w:jc w:val="both"/>
        <w:textAlignment w:val="baseline"/>
        <w:rPr>
          <w:rFonts w:ascii="Arial" w:hAnsi="Arial" w:cs="Arial"/>
          <w:sz w:val="28"/>
          <w:szCs w:val="28"/>
        </w:rPr>
      </w:pPr>
      <w:r>
        <w:rPr>
          <w:rFonts w:ascii="Arial" w:hAnsi="Arial" w:cs="Arial"/>
          <w:sz w:val="28"/>
          <w:szCs w:val="28"/>
        </w:rPr>
        <w:t>[An oral or written statement made by a person in one jurisdiction to a person in another jurisdiction by means of telecommunications, mail or any other method of communications</w:t>
      </w:r>
    </w:p>
    <w:p w14:paraId="2A92003F" w14:textId="77777777" w:rsidR="009F5E44" w:rsidRDefault="009F5E44">
      <w:pPr>
        <w:kinsoku w:val="0"/>
        <w:overflowPunct w:val="0"/>
        <w:autoSpaceDE/>
        <w:autoSpaceDN/>
        <w:adjustRightInd/>
        <w:spacing w:line="318" w:lineRule="exact"/>
        <w:ind w:left="1440"/>
        <w:textAlignment w:val="baseline"/>
        <w:rPr>
          <w:rFonts w:ascii="Arial" w:hAnsi="Arial" w:cs="Arial"/>
          <w:spacing w:val="-1"/>
          <w:sz w:val="28"/>
          <w:szCs w:val="28"/>
        </w:rPr>
      </w:pPr>
      <w:r>
        <w:rPr>
          <w:rFonts w:ascii="Arial" w:hAnsi="Arial" w:cs="Arial"/>
          <w:spacing w:val="-1"/>
          <w:sz w:val="28"/>
          <w:szCs w:val="28"/>
        </w:rPr>
        <w:t>is deemed to be made in each such jurisdiction.</w:t>
      </w:r>
      <w:r>
        <w:rPr>
          <w:rFonts w:ascii="Arial" w:hAnsi="Arial" w:cs="Arial"/>
          <w:spacing w:val="-1"/>
          <w:sz w:val="28"/>
          <w:szCs w:val="28"/>
          <w:vertAlign w:val="superscript"/>
        </w:rPr>
        <w:t>5</w:t>
      </w:r>
      <w:r>
        <w:rPr>
          <w:rFonts w:ascii="Arial" w:hAnsi="Arial" w:cs="Arial"/>
          <w:spacing w:val="-1"/>
          <w:sz w:val="28"/>
          <w:szCs w:val="28"/>
        </w:rPr>
        <w:t>]</w:t>
      </w:r>
    </w:p>
    <w:p w14:paraId="3E2038AB" w14:textId="77777777" w:rsidR="009F5E44" w:rsidRDefault="009F5E44">
      <w:pPr>
        <w:kinsoku w:val="0"/>
        <w:overflowPunct w:val="0"/>
        <w:autoSpaceDE/>
        <w:autoSpaceDN/>
        <w:adjustRightInd/>
        <w:spacing w:before="325" w:line="324" w:lineRule="exact"/>
        <w:ind w:left="1440" w:firstLine="720"/>
        <w:jc w:val="both"/>
        <w:textAlignment w:val="baseline"/>
        <w:rPr>
          <w:rFonts w:ascii="Arial" w:hAnsi="Arial" w:cs="Arial"/>
          <w:spacing w:val="-4"/>
          <w:sz w:val="28"/>
          <w:szCs w:val="28"/>
        </w:rPr>
      </w:pPr>
      <w:r>
        <w:rPr>
          <w:rFonts w:ascii="Arial" w:hAnsi="Arial" w:cs="Arial"/>
          <w:spacing w:val="-4"/>
          <w:sz w:val="28"/>
          <w:szCs w:val="28"/>
        </w:rPr>
        <w:t>[A person who causes property to be transported from one jurisdiction to another by means</w:t>
      </w:r>
    </w:p>
    <w:p w14:paraId="752AD268" w14:textId="77777777" w:rsidR="009F5E44" w:rsidRDefault="009F5E44">
      <w:pPr>
        <w:widowControl/>
        <w:rPr>
          <w:sz w:val="24"/>
          <w:szCs w:val="24"/>
        </w:rPr>
        <w:sectPr w:rsidR="009F5E44">
          <w:pgSz w:w="12240" w:h="15840"/>
          <w:pgMar w:top="1440" w:right="2140" w:bottom="1324" w:left="2160" w:header="720" w:footer="720" w:gutter="0"/>
          <w:cols w:space="720"/>
          <w:noEndnote/>
        </w:sectPr>
      </w:pPr>
    </w:p>
    <w:p w14:paraId="06D6DB44" w14:textId="77777777" w:rsidR="009F5E44" w:rsidRDefault="009F5E44">
      <w:pPr>
        <w:kinsoku w:val="0"/>
        <w:overflowPunct w:val="0"/>
        <w:autoSpaceDE/>
        <w:autoSpaceDN/>
        <w:adjustRightInd/>
        <w:spacing w:before="5" w:line="324" w:lineRule="exact"/>
        <w:ind w:left="1440"/>
        <w:jc w:val="both"/>
        <w:textAlignment w:val="baseline"/>
        <w:rPr>
          <w:rFonts w:ascii="Arial" w:hAnsi="Arial" w:cs="Arial"/>
          <w:spacing w:val="-2"/>
          <w:sz w:val="28"/>
          <w:szCs w:val="28"/>
        </w:rPr>
      </w:pPr>
      <w:r>
        <w:rPr>
          <w:rFonts w:ascii="Arial" w:hAnsi="Arial" w:cs="Arial"/>
          <w:spacing w:val="-2"/>
          <w:sz w:val="28"/>
          <w:szCs w:val="28"/>
        </w:rPr>
        <w:lastRenderedPageBreak/>
        <w:t>of mail, common carrier or any other method is deemed to have personally transported it in each jurisdiction, and if delivery is made in a second jurisdiction that person is deemed to have personally made the delivery in the second jurisdiction.</w:t>
      </w:r>
      <w:r>
        <w:rPr>
          <w:rFonts w:ascii="Arial" w:hAnsi="Arial" w:cs="Arial"/>
          <w:spacing w:val="-2"/>
          <w:sz w:val="28"/>
          <w:szCs w:val="28"/>
          <w:vertAlign w:val="superscript"/>
        </w:rPr>
        <w:t>6</w:t>
      </w:r>
      <w:r>
        <w:rPr>
          <w:rFonts w:ascii="Arial" w:hAnsi="Arial" w:cs="Arial"/>
          <w:spacing w:val="-2"/>
          <w:sz w:val="28"/>
          <w:szCs w:val="28"/>
        </w:rPr>
        <w:t>]</w:t>
      </w:r>
    </w:p>
    <w:p w14:paraId="7BA6805D" w14:textId="77777777" w:rsidR="009F5E44" w:rsidRDefault="009F5E44">
      <w:pPr>
        <w:kinsoku w:val="0"/>
        <w:overflowPunct w:val="0"/>
        <w:autoSpaceDE/>
        <w:autoSpaceDN/>
        <w:adjustRightInd/>
        <w:spacing w:before="317" w:line="324" w:lineRule="exact"/>
        <w:ind w:left="1440" w:firstLine="720"/>
        <w:jc w:val="both"/>
        <w:textAlignment w:val="baseline"/>
        <w:rPr>
          <w:rFonts w:ascii="Arial" w:hAnsi="Arial" w:cs="Arial"/>
          <w:sz w:val="28"/>
          <w:szCs w:val="28"/>
        </w:rPr>
      </w:pPr>
      <w:r>
        <w:rPr>
          <w:rFonts w:ascii="Arial" w:hAnsi="Arial" w:cs="Arial"/>
          <w:sz w:val="28"/>
          <w:szCs w:val="28"/>
        </w:rPr>
        <w:t>[A person who causes by any means the use of a computer or computer service in one jurisdiction from another jurisdiction is deemed to have personally used the computer or computer service in each jurisdiction.</w:t>
      </w:r>
      <w:r>
        <w:rPr>
          <w:rFonts w:ascii="Arial" w:hAnsi="Arial" w:cs="Arial"/>
          <w:sz w:val="28"/>
          <w:szCs w:val="28"/>
          <w:vertAlign w:val="superscript"/>
        </w:rPr>
        <w:t>7</w:t>
      </w:r>
      <w:r>
        <w:rPr>
          <w:rFonts w:ascii="Arial" w:hAnsi="Arial" w:cs="Arial"/>
          <w:sz w:val="28"/>
          <w:szCs w:val="28"/>
        </w:rPr>
        <w:t>]</w:t>
      </w:r>
    </w:p>
    <w:p w14:paraId="3D97669F" w14:textId="77777777" w:rsidR="009F5E44" w:rsidRDefault="009F5E44">
      <w:pPr>
        <w:kinsoku w:val="0"/>
        <w:overflowPunct w:val="0"/>
        <w:autoSpaceDE/>
        <w:autoSpaceDN/>
        <w:adjustRightInd/>
        <w:spacing w:before="329" w:line="324" w:lineRule="exact"/>
        <w:ind w:firstLine="720"/>
        <w:jc w:val="both"/>
        <w:textAlignment w:val="baseline"/>
        <w:rPr>
          <w:rFonts w:ascii="Arial" w:hAnsi="Arial" w:cs="Arial"/>
          <w:sz w:val="17"/>
          <w:szCs w:val="17"/>
        </w:rPr>
      </w:pPr>
      <w:r>
        <w:rPr>
          <w:rFonts w:ascii="Arial" w:hAnsi="Arial" w:cs="Arial"/>
          <w:sz w:val="28"/>
          <w:szCs w:val="28"/>
        </w:rPr>
        <w:t>The People have the burden to prove beyond a reasonable doubt that the State of New York has jurisdiction.</w:t>
      </w:r>
      <w:r>
        <w:rPr>
          <w:rFonts w:ascii="Arial" w:hAnsi="Arial" w:cs="Arial"/>
          <w:sz w:val="28"/>
          <w:szCs w:val="28"/>
          <w:vertAlign w:val="superscript"/>
        </w:rPr>
        <w:t>8</w:t>
      </w:r>
    </w:p>
    <w:p w14:paraId="7448BEE5" w14:textId="77777777" w:rsidR="009F5E44" w:rsidRDefault="009F5E44">
      <w:pPr>
        <w:kinsoku w:val="0"/>
        <w:overflowPunct w:val="0"/>
        <w:autoSpaceDE/>
        <w:autoSpaceDN/>
        <w:adjustRightInd/>
        <w:spacing w:before="327" w:line="324" w:lineRule="exact"/>
        <w:ind w:firstLine="720"/>
        <w:jc w:val="both"/>
        <w:textAlignment w:val="baseline"/>
        <w:rPr>
          <w:rFonts w:ascii="Arial" w:hAnsi="Arial" w:cs="Arial"/>
          <w:spacing w:val="-2"/>
          <w:sz w:val="28"/>
          <w:szCs w:val="28"/>
        </w:rPr>
      </w:pPr>
      <w:r>
        <w:rPr>
          <w:rFonts w:ascii="Arial" w:hAnsi="Arial" w:cs="Arial"/>
          <w:spacing w:val="-2"/>
          <w:sz w:val="28"/>
          <w:szCs w:val="28"/>
        </w:rPr>
        <w:t xml:space="preserve">If after considering all the evidence you find that the People have not proved beyond a reasonable doubt that the State of New York has jurisdiction to prosecute </w:t>
      </w:r>
      <w:r>
        <w:rPr>
          <w:rFonts w:ascii="Arial" w:hAnsi="Arial" w:cs="Arial"/>
          <w:spacing w:val="-2"/>
          <w:sz w:val="30"/>
          <w:szCs w:val="30"/>
          <w:u w:val="single"/>
        </w:rPr>
        <w:t>(</w:t>
      </w:r>
      <w:r>
        <w:rPr>
          <w:rFonts w:ascii="Arial" w:hAnsi="Arial" w:cs="Arial"/>
          <w:i/>
          <w:iCs/>
          <w:spacing w:val="-2"/>
          <w:sz w:val="28"/>
          <w:szCs w:val="28"/>
          <w:u w:val="single"/>
        </w:rPr>
        <w:t>specify crime[s])</w:t>
      </w:r>
      <w:r>
        <w:rPr>
          <w:rFonts w:ascii="Arial" w:hAnsi="Arial" w:cs="Arial"/>
          <w:spacing w:val="-2"/>
          <w:sz w:val="30"/>
          <w:szCs w:val="30"/>
          <w:u w:val="single"/>
        </w:rPr>
        <w:t>,</w:t>
      </w:r>
      <w:r>
        <w:rPr>
          <w:rFonts w:ascii="Arial" w:hAnsi="Arial" w:cs="Arial"/>
          <w:spacing w:val="-2"/>
          <w:sz w:val="28"/>
          <w:szCs w:val="28"/>
        </w:rPr>
        <w:t xml:space="preserve"> you must cease your deliberations as to that crime/those crimes [and continue your deliberations on the remaining crime(s) charged]. You will report your finding with respect to jurisdiction on the form I will provide you.</w:t>
      </w:r>
    </w:p>
    <w:p w14:paraId="25D04EEE" w14:textId="77777777" w:rsidR="009F5E44" w:rsidRDefault="009F5E44">
      <w:pPr>
        <w:kinsoku w:val="0"/>
        <w:overflowPunct w:val="0"/>
        <w:autoSpaceDE/>
        <w:autoSpaceDN/>
        <w:adjustRightInd/>
        <w:spacing w:before="324" w:after="598" w:line="324" w:lineRule="exact"/>
        <w:ind w:firstLine="720"/>
        <w:jc w:val="both"/>
        <w:textAlignment w:val="baseline"/>
        <w:rPr>
          <w:rFonts w:ascii="Arial" w:hAnsi="Arial" w:cs="Arial"/>
          <w:sz w:val="28"/>
          <w:szCs w:val="28"/>
        </w:rPr>
      </w:pPr>
      <w:r>
        <w:rPr>
          <w:rFonts w:ascii="Arial" w:hAnsi="Arial" w:cs="Arial"/>
          <w:sz w:val="28"/>
          <w:szCs w:val="28"/>
        </w:rPr>
        <w:t xml:space="preserve">On the other hand, if after considering all the evidence you find that the State of New York does have jurisdiction to prosecute </w:t>
      </w:r>
      <w:r>
        <w:rPr>
          <w:rFonts w:ascii="Arial" w:hAnsi="Arial" w:cs="Arial"/>
          <w:sz w:val="30"/>
          <w:szCs w:val="30"/>
          <w:u w:val="single"/>
        </w:rPr>
        <w:t>(</w:t>
      </w:r>
      <w:r>
        <w:rPr>
          <w:rFonts w:ascii="Arial" w:hAnsi="Arial" w:cs="Arial"/>
          <w:i/>
          <w:iCs/>
          <w:sz w:val="28"/>
          <w:szCs w:val="28"/>
          <w:u w:val="single"/>
        </w:rPr>
        <w:t>specify crime[s]</w:t>
      </w:r>
      <w:r>
        <w:rPr>
          <w:rFonts w:ascii="Arial" w:hAnsi="Arial" w:cs="Arial"/>
          <w:sz w:val="30"/>
          <w:szCs w:val="30"/>
          <w:u w:val="single"/>
        </w:rPr>
        <w:t>),</w:t>
      </w:r>
      <w:r>
        <w:rPr>
          <w:rFonts w:ascii="Arial" w:hAnsi="Arial" w:cs="Arial"/>
          <w:sz w:val="28"/>
          <w:szCs w:val="28"/>
        </w:rPr>
        <w:t xml:space="preserve"> then you must proceed to consider whether or not the People have proven the defendant guilty beyond a reasonable doubt of that crime/those crimes.</w:t>
      </w:r>
    </w:p>
    <w:p w14:paraId="4370BE21" w14:textId="449D1311" w:rsidR="009F5E44" w:rsidRDefault="00905CA3">
      <w:pPr>
        <w:kinsoku w:val="0"/>
        <w:overflowPunct w:val="0"/>
        <w:autoSpaceDE/>
        <w:autoSpaceDN/>
        <w:adjustRightInd/>
        <w:spacing w:before="686" w:line="278" w:lineRule="exact"/>
        <w:textAlignment w:val="baseline"/>
        <w:rPr>
          <w:rFonts w:ascii="Arial" w:hAnsi="Arial" w:cs="Arial"/>
          <w:sz w:val="24"/>
          <w:szCs w:val="24"/>
        </w:rPr>
      </w:pPr>
      <w:r>
        <w:rPr>
          <w:noProof/>
        </w:rPr>
        <mc:AlternateContent>
          <mc:Choice Requires="wps">
            <w:drawing>
              <wp:anchor distT="0" distB="0" distL="0" distR="0" simplePos="0" relativeHeight="251658240" behindDoc="0" locked="0" layoutInCell="0" allowOverlap="1" wp14:anchorId="2AB666D9" wp14:editId="06BE10F4">
                <wp:simplePos x="0" y="0"/>
                <wp:positionH relativeFrom="page">
                  <wp:posOffset>1367155</wp:posOffset>
                </wp:positionH>
                <wp:positionV relativeFrom="page">
                  <wp:posOffset>7074535</wp:posOffset>
                </wp:positionV>
                <wp:extent cx="1200150" cy="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9CF5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65pt,557.05pt" to="202.15pt,5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h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" o:allowincell="f" strokeweight="1.2pt">
                <w10:wrap type="square" anchorx="page" anchory="page"/>
              </v:line>
            </w:pict>
          </mc:Fallback>
        </mc:AlternateContent>
      </w:r>
      <w:r w:rsidR="009F5E44">
        <w:rPr>
          <w:rFonts w:ascii="Arial" w:hAnsi="Arial" w:cs="Arial"/>
          <w:sz w:val="24"/>
          <w:szCs w:val="24"/>
        </w:rPr>
        <w:t>1.People v. Hillman,246 NY 467(1927).</w:t>
      </w:r>
    </w:p>
    <w:p w14:paraId="573ABE45" w14:textId="77777777" w:rsidR="009F5E44" w:rsidRDefault="009F5E44">
      <w:pPr>
        <w:kinsoku w:val="0"/>
        <w:overflowPunct w:val="0"/>
        <w:autoSpaceDE/>
        <w:autoSpaceDN/>
        <w:adjustRightInd/>
        <w:spacing w:before="232" w:line="276" w:lineRule="exact"/>
        <w:ind w:right="360"/>
        <w:textAlignment w:val="baseline"/>
        <w:rPr>
          <w:rFonts w:ascii="Arial" w:hAnsi="Arial" w:cs="Arial"/>
          <w:sz w:val="24"/>
          <w:szCs w:val="24"/>
        </w:rPr>
      </w:pPr>
      <w:r>
        <w:rPr>
          <w:rFonts w:ascii="Arial" w:hAnsi="Arial" w:cs="Arial"/>
          <w:sz w:val="24"/>
          <w:szCs w:val="24"/>
        </w:rPr>
        <w:t xml:space="preserve">2.The statute provides “ conduct of another for which he is legally accountable pursuant to section 20.00 of the penal law.” This charge assumes that the CJI2d charge on accessorial liability defining the term “acting in concert” has already been given to the jury. </w:t>
      </w:r>
      <w:r>
        <w:rPr>
          <w:rFonts w:ascii="Arial" w:hAnsi="Arial" w:cs="Arial"/>
          <w:i/>
          <w:iCs/>
          <w:sz w:val="24"/>
          <w:szCs w:val="24"/>
        </w:rPr>
        <w:t xml:space="preserve">See </w:t>
      </w:r>
      <w:r>
        <w:rPr>
          <w:rFonts w:ascii="Arial" w:hAnsi="Arial" w:cs="Arial"/>
          <w:sz w:val="24"/>
          <w:szCs w:val="24"/>
        </w:rPr>
        <w:t>CJI2d [NY] Accessorial Liability.</w:t>
      </w:r>
    </w:p>
    <w:p w14:paraId="03A24572" w14:textId="77777777" w:rsidR="009F5E44" w:rsidRDefault="009F5E44">
      <w:pPr>
        <w:widowControl/>
        <w:rPr>
          <w:sz w:val="24"/>
          <w:szCs w:val="24"/>
        </w:rPr>
        <w:sectPr w:rsidR="009F5E44">
          <w:pgSz w:w="12240" w:h="15840"/>
          <w:pgMar w:top="1440" w:right="2139" w:bottom="1724" w:left="2153" w:header="720" w:footer="720" w:gutter="0"/>
          <w:cols w:space="720"/>
          <w:noEndnote/>
        </w:sectPr>
      </w:pPr>
    </w:p>
    <w:p w14:paraId="034EDADE" w14:textId="77777777" w:rsidR="009F5E44" w:rsidRDefault="009F5E44">
      <w:pPr>
        <w:kinsoku w:val="0"/>
        <w:overflowPunct w:val="0"/>
        <w:autoSpaceDE/>
        <w:autoSpaceDN/>
        <w:adjustRightInd/>
        <w:spacing w:before="10" w:line="275" w:lineRule="exact"/>
        <w:textAlignment w:val="baseline"/>
        <w:rPr>
          <w:rFonts w:ascii="Arial" w:hAnsi="Arial" w:cs="Arial"/>
          <w:sz w:val="24"/>
          <w:szCs w:val="24"/>
        </w:rPr>
      </w:pPr>
      <w:r>
        <w:rPr>
          <w:rFonts w:ascii="Arial" w:hAnsi="Arial" w:cs="Arial"/>
          <w:sz w:val="24"/>
          <w:szCs w:val="24"/>
        </w:rPr>
        <w:lastRenderedPageBreak/>
        <w:t>3.This part of the statute also provides that a person may be convicted of an offense under the laws of this state “where conduct occurred within this state sufficient...to establish the complicity of at least one of the persons liable” for conspiracy or solicitation. It also states that this basis of jurisdiction “extends only to conviction of those persons whose conspiratorial or other conduct of complicity occurred within this state.”</w:t>
      </w:r>
    </w:p>
    <w:p w14:paraId="032F2FD3" w14:textId="77777777" w:rsidR="009F5E44" w:rsidRDefault="009F5E44">
      <w:pPr>
        <w:kinsoku w:val="0"/>
        <w:overflowPunct w:val="0"/>
        <w:autoSpaceDE/>
        <w:autoSpaceDN/>
        <w:adjustRightInd/>
        <w:spacing w:before="247" w:line="273" w:lineRule="exact"/>
        <w:ind w:right="432"/>
        <w:textAlignment w:val="baseline"/>
        <w:rPr>
          <w:rFonts w:ascii="Arial" w:hAnsi="Arial" w:cs="Arial"/>
          <w:sz w:val="24"/>
          <w:szCs w:val="24"/>
        </w:rPr>
      </w:pPr>
      <w:r>
        <w:rPr>
          <w:rFonts w:ascii="Arial" w:hAnsi="Arial" w:cs="Arial"/>
          <w:sz w:val="24"/>
          <w:szCs w:val="24"/>
        </w:rPr>
        <w:t>4.See CJI 2d [NY] Penal Law Article 110, Attempt To Commit A Crime; CJI 2d [NY] Penal Law Article 105, Conspiracy; CJI 2d [NY] Penal Law Article 100, Criminal Solicitation.</w:t>
      </w:r>
    </w:p>
    <w:p w14:paraId="444A5578" w14:textId="77777777" w:rsidR="009F5E44" w:rsidRDefault="009F5E44">
      <w:pPr>
        <w:numPr>
          <w:ilvl w:val="0"/>
          <w:numId w:val="1"/>
        </w:numPr>
        <w:kinsoku w:val="0"/>
        <w:overflowPunct w:val="0"/>
        <w:autoSpaceDE/>
        <w:autoSpaceDN/>
        <w:adjustRightInd/>
        <w:spacing w:before="246" w:line="272" w:lineRule="exact"/>
        <w:textAlignment w:val="baseline"/>
        <w:rPr>
          <w:rFonts w:ascii="Arial" w:hAnsi="Arial" w:cs="Arial"/>
          <w:sz w:val="24"/>
          <w:szCs w:val="24"/>
        </w:rPr>
      </w:pPr>
      <w:r>
        <w:rPr>
          <w:rFonts w:ascii="Arial" w:hAnsi="Arial" w:cs="Arial"/>
          <w:sz w:val="24"/>
          <w:szCs w:val="24"/>
        </w:rPr>
        <w:t>CPL 20.60(1).</w:t>
      </w:r>
    </w:p>
    <w:p w14:paraId="72BDC6AF" w14:textId="77777777" w:rsidR="009F5E44" w:rsidRDefault="009F5E44">
      <w:pPr>
        <w:numPr>
          <w:ilvl w:val="0"/>
          <w:numId w:val="1"/>
        </w:numPr>
        <w:kinsoku w:val="0"/>
        <w:overflowPunct w:val="0"/>
        <w:autoSpaceDE/>
        <w:autoSpaceDN/>
        <w:adjustRightInd/>
        <w:spacing w:before="247" w:line="272" w:lineRule="exact"/>
        <w:textAlignment w:val="baseline"/>
        <w:rPr>
          <w:rFonts w:ascii="Arial" w:hAnsi="Arial" w:cs="Arial"/>
          <w:sz w:val="24"/>
          <w:szCs w:val="24"/>
        </w:rPr>
      </w:pPr>
      <w:r>
        <w:rPr>
          <w:rFonts w:ascii="Arial" w:hAnsi="Arial" w:cs="Arial"/>
          <w:sz w:val="24"/>
          <w:szCs w:val="24"/>
        </w:rPr>
        <w:t>CPL 20.60(2).</w:t>
      </w:r>
    </w:p>
    <w:p w14:paraId="757C27EC" w14:textId="77777777" w:rsidR="009F5E44" w:rsidRDefault="009F5E44">
      <w:pPr>
        <w:kinsoku w:val="0"/>
        <w:overflowPunct w:val="0"/>
        <w:autoSpaceDE/>
        <w:autoSpaceDN/>
        <w:adjustRightInd/>
        <w:spacing w:before="241" w:line="272" w:lineRule="exact"/>
        <w:textAlignment w:val="baseline"/>
        <w:rPr>
          <w:rFonts w:ascii="Arial" w:hAnsi="Arial" w:cs="Arial"/>
          <w:sz w:val="24"/>
          <w:szCs w:val="24"/>
        </w:rPr>
      </w:pPr>
      <w:r>
        <w:rPr>
          <w:rFonts w:ascii="Arial" w:hAnsi="Arial" w:cs="Arial"/>
          <w:sz w:val="24"/>
          <w:szCs w:val="24"/>
        </w:rPr>
        <w:t>7.CPL 20.60(3).</w:t>
      </w:r>
    </w:p>
    <w:p w14:paraId="37148EC8" w14:textId="77777777" w:rsidR="009F5E44" w:rsidRDefault="009F5E44">
      <w:pPr>
        <w:kinsoku w:val="0"/>
        <w:overflowPunct w:val="0"/>
        <w:autoSpaceDE/>
        <w:autoSpaceDN/>
        <w:adjustRightInd/>
        <w:spacing w:before="242" w:line="273" w:lineRule="exact"/>
        <w:textAlignment w:val="baseline"/>
        <w:rPr>
          <w:rFonts w:ascii="Arial" w:hAnsi="Arial" w:cs="Arial"/>
          <w:sz w:val="24"/>
          <w:szCs w:val="24"/>
        </w:rPr>
      </w:pPr>
      <w:r>
        <w:rPr>
          <w:rFonts w:ascii="Arial" w:hAnsi="Arial" w:cs="Arial"/>
          <w:sz w:val="24"/>
          <w:szCs w:val="24"/>
        </w:rPr>
        <w:t>8.</w:t>
      </w:r>
      <w:r>
        <w:rPr>
          <w:rFonts w:ascii="Arial" w:hAnsi="Arial" w:cs="Arial"/>
          <w:i/>
          <w:iCs/>
          <w:sz w:val="24"/>
          <w:szCs w:val="24"/>
        </w:rPr>
        <w:t>People v. McLaughlin</w:t>
      </w:r>
      <w:r>
        <w:rPr>
          <w:rFonts w:ascii="Arial" w:hAnsi="Arial" w:cs="Arial"/>
          <w:sz w:val="24"/>
          <w:szCs w:val="24"/>
        </w:rPr>
        <w:t>, 80 NY2d 466(1992).</w:t>
      </w:r>
    </w:p>
    <w:sectPr w:rsidR="009F5E44" w:rsidSect="009F5E44">
      <w:pgSz w:w="12240" w:h="15840"/>
      <w:pgMar w:top="1440" w:right="2160" w:bottom="9164" w:left="21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FE91"/>
    <w:multiLevelType w:val="singleLevel"/>
    <w:tmpl w:val="6ACD1287"/>
    <w:lvl w:ilvl="0">
      <w:start w:val="5"/>
      <w:numFmt w:val="decimal"/>
      <w:lvlText w:val="%1."/>
      <w:lvlJc w:val="left"/>
      <w:pPr>
        <w:tabs>
          <w:tab w:val="num" w:pos="288"/>
        </w:tabs>
      </w:pPr>
      <w:rPr>
        <w:rFonts w:ascii="Arial" w:hAnsi="Arial" w:cs="Arial"/>
        <w:snapToGrid/>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44"/>
    <w:rsid w:val="00905CA3"/>
    <w:rsid w:val="009F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7E999E"/>
  <w14:defaultImageDpi w14:val="0"/>
  <w15:docId w15:val="{87596F79-2D24-4D04-9475-54634A53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2017-12-30T20:57:00Z</dcterms:created>
  <dcterms:modified xsi:type="dcterms:W3CDTF">2017-12-30T20:57:00Z</dcterms:modified>
</cp:coreProperties>
</file>