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C0CF" w14:textId="77777777" w:rsidR="00DE3E40" w:rsidRDefault="00DE3E40">
      <w:pPr>
        <w:kinsoku w:val="0"/>
        <w:overflowPunct w:val="0"/>
        <w:autoSpaceDE/>
        <w:autoSpaceDN/>
        <w:adjustRightInd/>
        <w:spacing w:before="26" w:line="343" w:lineRule="exact"/>
        <w:jc w:val="center"/>
        <w:textAlignment w:val="baseline"/>
        <w:rPr>
          <w:rFonts w:ascii="Arial" w:hAnsi="Arial" w:cs="Arial"/>
          <w:sz w:val="17"/>
          <w:szCs w:val="17"/>
        </w:rPr>
      </w:pPr>
      <w:bookmarkStart w:id="0" w:name="_GoBack"/>
      <w:bookmarkEnd w:id="0"/>
      <w:r>
        <w:rPr>
          <w:rFonts w:ascii="Arial" w:hAnsi="Arial" w:cs="Arial"/>
          <w:b/>
          <w:bCs/>
          <w:sz w:val="28"/>
          <w:szCs w:val="28"/>
        </w:rPr>
        <w:t>INFERENCE OF PARTICIPATION IN THEFT ARISING FROM</w:t>
      </w:r>
      <w:r>
        <w:rPr>
          <w:rFonts w:ascii="Arial" w:hAnsi="Arial" w:cs="Arial"/>
          <w:b/>
          <w:bCs/>
          <w:sz w:val="28"/>
          <w:szCs w:val="28"/>
        </w:rPr>
        <w:br/>
        <w:t>RECENT, EXCLUSIVE POSSESSION OF STOLEN</w:t>
      </w:r>
      <w:r>
        <w:rPr>
          <w:rFonts w:ascii="Arial" w:hAnsi="Arial" w:cs="Arial"/>
          <w:b/>
          <w:bCs/>
          <w:sz w:val="28"/>
          <w:szCs w:val="28"/>
        </w:rPr>
        <w:br/>
        <w:t>PROPERTY</w:t>
      </w:r>
      <w:r>
        <w:rPr>
          <w:rFonts w:ascii="Arial" w:hAnsi="Arial" w:cs="Arial"/>
          <w:sz w:val="28"/>
          <w:szCs w:val="28"/>
          <w:vertAlign w:val="superscript"/>
        </w:rPr>
        <w:t>1</w:t>
      </w:r>
    </w:p>
    <w:p w14:paraId="069DA257" w14:textId="77777777" w:rsidR="00DE3E40" w:rsidRDefault="00DE3E40">
      <w:pPr>
        <w:kinsoku w:val="0"/>
        <w:overflowPunct w:val="0"/>
        <w:autoSpaceDE/>
        <w:autoSpaceDN/>
        <w:adjustRightInd/>
        <w:spacing w:before="379" w:line="350" w:lineRule="exact"/>
        <w:ind w:left="720" w:right="720" w:firstLine="720"/>
        <w:jc w:val="both"/>
        <w:textAlignment w:val="baseline"/>
        <w:rPr>
          <w:rFonts w:ascii="Arial" w:hAnsi="Arial" w:cs="Arial"/>
          <w:i/>
          <w:iCs/>
          <w:sz w:val="28"/>
          <w:szCs w:val="28"/>
        </w:rPr>
      </w:pPr>
      <w:r>
        <w:rPr>
          <w:rFonts w:ascii="Arial" w:hAnsi="Arial" w:cs="Arial"/>
          <w:i/>
          <w:iCs/>
          <w:sz w:val="28"/>
          <w:szCs w:val="28"/>
        </w:rPr>
        <w:t>Note: The following charge should be included in the charge of the crime(s) to which it applies. It may be inserted after the portion of the charge which states the applicable definitions and before the listing of the elements of the crime(s).</w:t>
      </w:r>
    </w:p>
    <w:p w14:paraId="68698E9D" w14:textId="77777777" w:rsidR="00DE3E40" w:rsidRDefault="00DE3E40">
      <w:pPr>
        <w:kinsoku w:val="0"/>
        <w:overflowPunct w:val="0"/>
        <w:autoSpaceDE/>
        <w:autoSpaceDN/>
        <w:adjustRightInd/>
        <w:spacing w:before="350" w:line="350" w:lineRule="exact"/>
        <w:ind w:firstLine="720"/>
        <w:jc w:val="both"/>
        <w:textAlignment w:val="baseline"/>
        <w:rPr>
          <w:rFonts w:ascii="Arial" w:hAnsi="Arial" w:cs="Arial"/>
          <w:spacing w:val="-3"/>
          <w:sz w:val="28"/>
          <w:szCs w:val="28"/>
        </w:rPr>
      </w:pPr>
      <w:r>
        <w:rPr>
          <w:rFonts w:ascii="Arial" w:hAnsi="Arial" w:cs="Arial"/>
          <w:spacing w:val="-3"/>
          <w:sz w:val="28"/>
          <w:szCs w:val="28"/>
        </w:rPr>
        <w:t xml:space="preserve">Under our law, if the People prove beyond a reasonable doubt that the defendant was in exclusive possession of property recently stolen during a </w:t>
      </w:r>
      <w:r>
        <w:rPr>
          <w:rFonts w:ascii="Arial" w:hAnsi="Arial" w:cs="Arial"/>
          <w:spacing w:val="-3"/>
          <w:sz w:val="30"/>
          <w:szCs w:val="30"/>
          <w:u w:val="single"/>
        </w:rPr>
        <w:t>(</w:t>
      </w:r>
      <w:r>
        <w:rPr>
          <w:rFonts w:ascii="Arial" w:hAnsi="Arial" w:cs="Arial"/>
          <w:i/>
          <w:iCs/>
          <w:spacing w:val="-3"/>
          <w:sz w:val="28"/>
          <w:szCs w:val="28"/>
          <w:u w:val="single"/>
        </w:rPr>
        <w:t>specify the crime</w:t>
      </w:r>
      <w:r>
        <w:rPr>
          <w:rFonts w:ascii="Arial" w:hAnsi="Arial" w:cs="Arial"/>
          <w:spacing w:val="-3"/>
          <w:sz w:val="30"/>
          <w:szCs w:val="30"/>
          <w:u w:val="single"/>
        </w:rPr>
        <w:t>),</w:t>
      </w:r>
      <w:r>
        <w:rPr>
          <w:rFonts w:ascii="Arial" w:hAnsi="Arial" w:cs="Arial"/>
          <w:spacing w:val="-3"/>
          <w:sz w:val="28"/>
          <w:szCs w:val="28"/>
        </w:rPr>
        <w:t xml:space="preserve"> and that there is no</w:t>
      </w:r>
      <w:r>
        <w:rPr>
          <w:rFonts w:ascii="Arial" w:hAnsi="Arial" w:cs="Arial"/>
          <w:spacing w:val="-3"/>
          <w:sz w:val="28"/>
          <w:szCs w:val="28"/>
          <w:vertAlign w:val="superscript"/>
        </w:rPr>
        <w:t>2</w:t>
      </w:r>
      <w:r>
        <w:rPr>
          <w:rFonts w:ascii="Arial" w:hAnsi="Arial" w:cs="Arial"/>
          <w:spacing w:val="-3"/>
          <w:sz w:val="17"/>
          <w:szCs w:val="17"/>
        </w:rPr>
        <w:t xml:space="preserve"> </w:t>
      </w:r>
      <w:r>
        <w:rPr>
          <w:rFonts w:ascii="Arial" w:hAnsi="Arial" w:cs="Arial"/>
          <w:spacing w:val="-3"/>
          <w:sz w:val="28"/>
          <w:szCs w:val="28"/>
        </w:rPr>
        <w:t>innocent explanation for that possession, then you may, but are not required to, infer that the possession was guilty possession.</w:t>
      </w:r>
    </w:p>
    <w:p w14:paraId="349100EA" w14:textId="77777777" w:rsidR="00DE3E40" w:rsidRDefault="00DE3E40">
      <w:pPr>
        <w:kinsoku w:val="0"/>
        <w:overflowPunct w:val="0"/>
        <w:autoSpaceDE/>
        <w:autoSpaceDN/>
        <w:adjustRightInd/>
        <w:spacing w:before="351" w:line="350" w:lineRule="exact"/>
        <w:ind w:firstLine="720"/>
        <w:jc w:val="both"/>
        <w:textAlignment w:val="baseline"/>
        <w:rPr>
          <w:rFonts w:ascii="Arial" w:hAnsi="Arial" w:cs="Arial"/>
          <w:spacing w:val="-2"/>
          <w:sz w:val="28"/>
          <w:szCs w:val="28"/>
        </w:rPr>
      </w:pPr>
      <w:r>
        <w:rPr>
          <w:rFonts w:ascii="Arial" w:hAnsi="Arial" w:cs="Arial"/>
          <w:spacing w:val="-2"/>
          <w:sz w:val="28"/>
          <w:szCs w:val="28"/>
        </w:rPr>
        <w:t>If you draw that inference, you must then decide whether or not the defendant’s guilty possession was the result of his/her participation in the crime during which the property was stolen.</w:t>
      </w:r>
    </w:p>
    <w:p w14:paraId="39DCEFB8" w14:textId="77777777" w:rsidR="00DE3E40" w:rsidRDefault="00DE3E40">
      <w:pPr>
        <w:kinsoku w:val="0"/>
        <w:overflowPunct w:val="0"/>
        <w:autoSpaceDE/>
        <w:autoSpaceDN/>
        <w:adjustRightInd/>
        <w:spacing w:before="352" w:line="350" w:lineRule="exact"/>
        <w:ind w:firstLine="720"/>
        <w:jc w:val="both"/>
        <w:textAlignment w:val="baseline"/>
        <w:rPr>
          <w:rFonts w:ascii="Arial" w:hAnsi="Arial" w:cs="Arial"/>
          <w:spacing w:val="-2"/>
          <w:sz w:val="28"/>
          <w:szCs w:val="28"/>
        </w:rPr>
      </w:pPr>
      <w:r>
        <w:rPr>
          <w:rFonts w:ascii="Arial" w:hAnsi="Arial" w:cs="Arial"/>
          <w:spacing w:val="-2"/>
          <w:sz w:val="28"/>
          <w:szCs w:val="28"/>
        </w:rPr>
        <w:t xml:space="preserve">The terms “possess,” “exclusive possession” and </w:t>
      </w:r>
      <w:r>
        <w:rPr>
          <w:rFonts w:ascii="WP TypographicSymbols" w:hAnsi="WP TypographicSymbols" w:cs="WP TypographicSymbols"/>
          <w:spacing w:val="-2"/>
          <w:sz w:val="30"/>
          <w:szCs w:val="30"/>
        </w:rPr>
        <w:t>?</w:t>
      </w:r>
      <w:r>
        <w:rPr>
          <w:rFonts w:ascii="Arial" w:hAnsi="Arial" w:cs="Arial"/>
          <w:spacing w:val="-2"/>
          <w:sz w:val="28"/>
          <w:szCs w:val="28"/>
        </w:rPr>
        <w:t>recently stolen” have their own special meaning in our law. I will now give you the meaning of those terms.</w:t>
      </w:r>
    </w:p>
    <w:p w14:paraId="6BE53018" w14:textId="77777777" w:rsidR="00DE3E40" w:rsidRDefault="00DE3E40">
      <w:pPr>
        <w:kinsoku w:val="0"/>
        <w:overflowPunct w:val="0"/>
        <w:autoSpaceDE/>
        <w:autoSpaceDN/>
        <w:adjustRightInd/>
        <w:spacing w:before="348" w:line="350" w:lineRule="exact"/>
        <w:ind w:firstLine="720"/>
        <w:jc w:val="both"/>
        <w:textAlignment w:val="baseline"/>
        <w:rPr>
          <w:rFonts w:ascii="Arial" w:hAnsi="Arial" w:cs="Arial"/>
          <w:spacing w:val="-3"/>
          <w:sz w:val="17"/>
          <w:szCs w:val="17"/>
        </w:rPr>
      </w:pPr>
      <w:r>
        <w:rPr>
          <w:rFonts w:ascii="Arial" w:hAnsi="Arial" w:cs="Arial"/>
          <w:spacing w:val="-3"/>
          <w:sz w:val="28"/>
          <w:szCs w:val="28"/>
        </w:rPr>
        <w:t>POSSESS means to have physical possession or otherwise to exercise dominion or control over tangible property.</w:t>
      </w:r>
      <w:r>
        <w:rPr>
          <w:rFonts w:ascii="Arial" w:hAnsi="Arial" w:cs="Arial"/>
          <w:spacing w:val="-3"/>
          <w:sz w:val="28"/>
          <w:szCs w:val="28"/>
          <w:vertAlign w:val="superscript"/>
        </w:rPr>
        <w:t>3</w:t>
      </w:r>
      <w:r>
        <w:rPr>
          <w:rFonts w:ascii="Arial" w:hAnsi="Arial" w:cs="Arial"/>
          <w:spacing w:val="-3"/>
          <w:sz w:val="17"/>
          <w:szCs w:val="17"/>
        </w:rPr>
        <w:t xml:space="preserve"> </w:t>
      </w:r>
      <w:r>
        <w:rPr>
          <w:rFonts w:ascii="Arial" w:hAnsi="Arial" w:cs="Arial"/>
          <w:spacing w:val="-3"/>
          <w:sz w:val="28"/>
          <w:szCs w:val="28"/>
        </w:rPr>
        <w:t>EXCLUSIVE POSSESSION means possession had by one person alone, or by two or more persons who jointly possess the property exclusive of everyone else.</w:t>
      </w:r>
      <w:r>
        <w:rPr>
          <w:rFonts w:ascii="Arial" w:hAnsi="Arial" w:cs="Arial"/>
          <w:spacing w:val="-3"/>
          <w:sz w:val="28"/>
          <w:szCs w:val="28"/>
          <w:vertAlign w:val="superscript"/>
        </w:rPr>
        <w:t>4</w:t>
      </w:r>
    </w:p>
    <w:p w14:paraId="52730925" w14:textId="77777777" w:rsidR="00DE3E40" w:rsidRDefault="00DE3E40">
      <w:pPr>
        <w:kinsoku w:val="0"/>
        <w:overflowPunct w:val="0"/>
        <w:autoSpaceDE/>
        <w:autoSpaceDN/>
        <w:adjustRightInd/>
        <w:spacing w:before="358" w:line="349" w:lineRule="exact"/>
        <w:ind w:firstLine="720"/>
        <w:jc w:val="both"/>
        <w:textAlignment w:val="baseline"/>
        <w:rPr>
          <w:rFonts w:ascii="Arial" w:hAnsi="Arial" w:cs="Arial"/>
          <w:spacing w:val="-4"/>
          <w:sz w:val="28"/>
          <w:szCs w:val="28"/>
        </w:rPr>
      </w:pPr>
      <w:r>
        <w:rPr>
          <w:rFonts w:ascii="Arial" w:hAnsi="Arial" w:cs="Arial"/>
          <w:spacing w:val="-4"/>
          <w:sz w:val="28"/>
          <w:szCs w:val="28"/>
        </w:rPr>
        <w:t>Whether property has been RECENTLY STOLEN depends on such factors as: the nature of the property, whether it was stolen for retention or disposal, whether it was readily disposable, and the time period between the theft of the property and finding it in the possession of a person. For example, the longer the period between the crime and the time a person was in possession of the property, the less likely it is that any inference</w:t>
      </w:r>
    </w:p>
    <w:p w14:paraId="2232B72C" w14:textId="77777777" w:rsidR="00DE3E40" w:rsidRDefault="00DE3E40">
      <w:pPr>
        <w:widowControl/>
        <w:rPr>
          <w:sz w:val="24"/>
          <w:szCs w:val="24"/>
        </w:rPr>
        <w:sectPr w:rsidR="00DE3E40">
          <w:pgSz w:w="12240" w:h="15840"/>
          <w:pgMar w:top="1340" w:right="2140" w:bottom="1104" w:left="2160" w:header="720" w:footer="720" w:gutter="0"/>
          <w:cols w:space="720"/>
          <w:noEndnote/>
        </w:sectPr>
      </w:pPr>
    </w:p>
    <w:p w14:paraId="0EA9C796" w14:textId="77777777" w:rsidR="00DE3E40" w:rsidRDefault="00DE3E40">
      <w:pPr>
        <w:kinsoku w:val="0"/>
        <w:overflowPunct w:val="0"/>
        <w:autoSpaceDE/>
        <w:autoSpaceDN/>
        <w:adjustRightInd/>
        <w:spacing w:before="3" w:after="664" w:line="350" w:lineRule="exact"/>
        <w:ind w:left="72"/>
        <w:jc w:val="both"/>
        <w:textAlignment w:val="baseline"/>
        <w:rPr>
          <w:rFonts w:ascii="Arial" w:hAnsi="Arial" w:cs="Arial"/>
          <w:sz w:val="17"/>
          <w:szCs w:val="17"/>
        </w:rPr>
      </w:pPr>
      <w:r>
        <w:rPr>
          <w:rFonts w:ascii="Arial" w:hAnsi="Arial" w:cs="Arial"/>
          <w:sz w:val="28"/>
          <w:szCs w:val="28"/>
        </w:rPr>
        <w:lastRenderedPageBreak/>
        <w:t>may reasonably be drawn from the possession. On the other hand, the briefer the period between the crime and the possession, the more likely it is that an inference may reasonably be drawn from the possession.</w:t>
      </w:r>
      <w:r>
        <w:rPr>
          <w:rFonts w:ascii="Arial" w:hAnsi="Arial" w:cs="Arial"/>
          <w:sz w:val="28"/>
          <w:szCs w:val="28"/>
          <w:vertAlign w:val="superscript"/>
        </w:rPr>
        <w:t>5</w:t>
      </w:r>
    </w:p>
    <w:p w14:paraId="225A8C9A" w14:textId="385975D2" w:rsidR="00DE3E40" w:rsidRDefault="00295724">
      <w:pPr>
        <w:numPr>
          <w:ilvl w:val="0"/>
          <w:numId w:val="1"/>
        </w:numPr>
        <w:kinsoku w:val="0"/>
        <w:overflowPunct w:val="0"/>
        <w:autoSpaceDE/>
        <w:autoSpaceDN/>
        <w:adjustRightInd/>
        <w:spacing w:before="410" w:line="327" w:lineRule="exact"/>
        <w:jc w:val="both"/>
        <w:textAlignment w:val="baseline"/>
        <w:rPr>
          <w:rFonts w:ascii="Arial" w:hAnsi="Arial" w:cs="Arial"/>
          <w:spacing w:val="-4"/>
          <w:sz w:val="26"/>
          <w:szCs w:val="26"/>
        </w:rPr>
      </w:pPr>
      <w:r>
        <w:rPr>
          <w:noProof/>
        </w:rPr>
        <mc:AlternateContent>
          <mc:Choice Requires="wps">
            <w:drawing>
              <wp:anchor distT="0" distB="0" distL="0" distR="0" simplePos="0" relativeHeight="251658240" behindDoc="0" locked="0" layoutInCell="0" allowOverlap="1" wp14:anchorId="1CBB9B9B" wp14:editId="34DA5E1E">
                <wp:simplePos x="0" y="0"/>
                <wp:positionH relativeFrom="page">
                  <wp:posOffset>1367155</wp:posOffset>
                </wp:positionH>
                <wp:positionV relativeFrom="page">
                  <wp:posOffset>2188210</wp:posOffset>
                </wp:positionV>
                <wp:extent cx="120015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A29D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65pt,172.3pt" to="202.1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h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" o:allowincell="f" strokeweight="1.2pt">
                <w10:wrap type="square" anchorx="page" anchory="page"/>
              </v:line>
            </w:pict>
          </mc:Fallback>
        </mc:AlternateContent>
      </w:r>
      <w:r w:rsidR="00DE3E40">
        <w:rPr>
          <w:rFonts w:ascii="Arial" w:hAnsi="Arial" w:cs="Arial"/>
          <w:i/>
          <w:iCs/>
          <w:spacing w:val="-4"/>
          <w:sz w:val="24"/>
          <w:szCs w:val="24"/>
        </w:rPr>
        <w:t>See People v Galbo</w:t>
      </w:r>
      <w:r w:rsidR="00DE3E40">
        <w:rPr>
          <w:rFonts w:ascii="Arial" w:hAnsi="Arial" w:cs="Arial"/>
          <w:spacing w:val="-4"/>
          <w:sz w:val="24"/>
          <w:szCs w:val="24"/>
        </w:rPr>
        <w:t xml:space="preserve">, 218 N.Y. 283 (1916). </w:t>
      </w:r>
      <w:r w:rsidR="00DE3E40">
        <w:rPr>
          <w:rFonts w:ascii="Arial" w:hAnsi="Arial" w:cs="Arial"/>
          <w:spacing w:val="-4"/>
          <w:sz w:val="26"/>
          <w:szCs w:val="26"/>
        </w:rPr>
        <w:t xml:space="preserve">This charge substitutes the terminology “no innocent explanation” for the </w:t>
      </w:r>
      <w:r w:rsidR="00DE3E40">
        <w:rPr>
          <w:rFonts w:ascii="Arial" w:hAnsi="Arial" w:cs="Arial"/>
          <w:i/>
          <w:iCs/>
          <w:spacing w:val="-4"/>
          <w:sz w:val="26"/>
          <w:szCs w:val="26"/>
        </w:rPr>
        <w:t xml:space="preserve">Galbo </w:t>
      </w:r>
      <w:r w:rsidR="00DE3E40">
        <w:rPr>
          <w:rFonts w:ascii="Arial" w:hAnsi="Arial" w:cs="Arial"/>
          <w:spacing w:val="-4"/>
          <w:sz w:val="26"/>
          <w:szCs w:val="26"/>
        </w:rPr>
        <w:t>“unexplained” or “falsely explained” terminology. The modification more appropriately conveys the criteria of the inference and lessens the implication of the privilege against compulsory self-incrimination.</w:t>
      </w:r>
    </w:p>
    <w:p w14:paraId="06D0B1E3" w14:textId="77777777" w:rsidR="00DE3E40" w:rsidRDefault="00DE3E40">
      <w:pPr>
        <w:numPr>
          <w:ilvl w:val="0"/>
          <w:numId w:val="2"/>
        </w:numPr>
        <w:kinsoku w:val="0"/>
        <w:overflowPunct w:val="0"/>
        <w:autoSpaceDE/>
        <w:autoSpaceDN/>
        <w:adjustRightInd/>
        <w:spacing w:before="180" w:line="322" w:lineRule="exact"/>
        <w:jc w:val="both"/>
        <w:textAlignment w:val="baseline"/>
        <w:rPr>
          <w:rFonts w:ascii="Arial" w:hAnsi="Arial" w:cs="Arial"/>
          <w:sz w:val="24"/>
          <w:szCs w:val="24"/>
        </w:rPr>
      </w:pPr>
      <w:r>
        <w:rPr>
          <w:rFonts w:ascii="Arial" w:hAnsi="Arial" w:cs="Arial"/>
          <w:sz w:val="24"/>
          <w:szCs w:val="24"/>
        </w:rPr>
        <w:t>If there was evidence putting forth an explanation for the possession, the court may here insert the word: believable.</w:t>
      </w:r>
    </w:p>
    <w:p w14:paraId="0F44FEF3" w14:textId="77777777" w:rsidR="00DE3E40" w:rsidRDefault="00DE3E40">
      <w:pPr>
        <w:numPr>
          <w:ilvl w:val="0"/>
          <w:numId w:val="1"/>
        </w:numPr>
        <w:kinsoku w:val="0"/>
        <w:overflowPunct w:val="0"/>
        <w:autoSpaceDE/>
        <w:autoSpaceDN/>
        <w:adjustRightInd/>
        <w:spacing w:before="232" w:line="277" w:lineRule="exact"/>
        <w:jc w:val="both"/>
        <w:textAlignment w:val="baseline"/>
        <w:rPr>
          <w:rFonts w:ascii="Arial" w:hAnsi="Arial" w:cs="Arial"/>
          <w:spacing w:val="-1"/>
          <w:sz w:val="24"/>
          <w:szCs w:val="24"/>
        </w:rPr>
      </w:pPr>
      <w:r>
        <w:rPr>
          <w:rFonts w:ascii="Arial" w:hAnsi="Arial" w:cs="Arial"/>
          <w:i/>
          <w:iCs/>
          <w:spacing w:val="-1"/>
          <w:sz w:val="24"/>
          <w:szCs w:val="24"/>
        </w:rPr>
        <w:t xml:space="preserve">See </w:t>
      </w:r>
      <w:r>
        <w:rPr>
          <w:rFonts w:ascii="Arial" w:hAnsi="Arial" w:cs="Arial"/>
          <w:spacing w:val="-1"/>
          <w:sz w:val="24"/>
          <w:szCs w:val="24"/>
        </w:rPr>
        <w:t>Penal Law § 10.00(8).</w:t>
      </w:r>
    </w:p>
    <w:p w14:paraId="64F56D91" w14:textId="77777777" w:rsidR="00DE3E40" w:rsidRDefault="00DE3E40">
      <w:pPr>
        <w:numPr>
          <w:ilvl w:val="0"/>
          <w:numId w:val="1"/>
        </w:numPr>
        <w:kinsoku w:val="0"/>
        <w:overflowPunct w:val="0"/>
        <w:autoSpaceDE/>
        <w:autoSpaceDN/>
        <w:adjustRightInd/>
        <w:spacing w:before="246" w:line="277" w:lineRule="exact"/>
        <w:jc w:val="both"/>
        <w:textAlignment w:val="baseline"/>
        <w:rPr>
          <w:rFonts w:ascii="Arial" w:hAnsi="Arial" w:cs="Arial"/>
          <w:sz w:val="24"/>
          <w:szCs w:val="24"/>
        </w:rPr>
      </w:pPr>
      <w:r>
        <w:rPr>
          <w:rFonts w:ascii="Arial" w:hAnsi="Arial" w:cs="Arial"/>
          <w:i/>
          <w:iCs/>
          <w:sz w:val="24"/>
          <w:szCs w:val="24"/>
        </w:rPr>
        <w:t>See People v. Baskerville</w:t>
      </w:r>
      <w:r>
        <w:rPr>
          <w:rFonts w:ascii="Arial" w:hAnsi="Arial" w:cs="Arial"/>
          <w:sz w:val="24"/>
          <w:szCs w:val="24"/>
        </w:rPr>
        <w:t>, 60 N.Y.2d 374 (1983).</w:t>
      </w:r>
    </w:p>
    <w:p w14:paraId="367943D8" w14:textId="77777777" w:rsidR="00DE3E40" w:rsidRDefault="00DE3E40">
      <w:pPr>
        <w:numPr>
          <w:ilvl w:val="0"/>
          <w:numId w:val="3"/>
        </w:numPr>
        <w:kinsoku w:val="0"/>
        <w:overflowPunct w:val="0"/>
        <w:autoSpaceDE/>
        <w:autoSpaceDN/>
        <w:adjustRightInd/>
        <w:spacing w:before="215" w:after="6258" w:line="319" w:lineRule="exact"/>
        <w:jc w:val="both"/>
        <w:textAlignment w:val="baseline"/>
        <w:rPr>
          <w:rFonts w:ascii="Arial" w:hAnsi="Arial" w:cs="Arial"/>
          <w:i/>
          <w:iCs/>
          <w:spacing w:val="-7"/>
          <w:sz w:val="28"/>
          <w:szCs w:val="28"/>
        </w:rPr>
      </w:pPr>
      <w:r>
        <w:rPr>
          <w:rFonts w:ascii="Arial" w:hAnsi="Arial" w:cs="Arial"/>
          <w:i/>
          <w:iCs/>
          <w:spacing w:val="-7"/>
          <w:sz w:val="28"/>
          <w:szCs w:val="28"/>
        </w:rPr>
        <w:t>See Id.</w:t>
      </w:r>
    </w:p>
    <w:p w14:paraId="652C8C15" w14:textId="77777777" w:rsidR="00DE3E40" w:rsidRDefault="00DE3E40">
      <w:pPr>
        <w:widowControl/>
        <w:rPr>
          <w:sz w:val="24"/>
          <w:szCs w:val="24"/>
        </w:rPr>
        <w:sectPr w:rsidR="00DE3E40">
          <w:pgSz w:w="12240" w:h="15840"/>
          <w:pgMar w:top="1360" w:right="2145" w:bottom="1044" w:left="2153" w:header="720" w:footer="720" w:gutter="0"/>
          <w:cols w:space="720"/>
          <w:noEndnote/>
        </w:sectPr>
      </w:pPr>
    </w:p>
    <w:p w14:paraId="790700EE" w14:textId="77777777" w:rsidR="00DE3E40" w:rsidRDefault="00DE3E40">
      <w:pPr>
        <w:kinsoku w:val="0"/>
        <w:overflowPunct w:val="0"/>
        <w:autoSpaceDE/>
        <w:autoSpaceDN/>
        <w:adjustRightInd/>
        <w:spacing w:line="265" w:lineRule="exact"/>
        <w:jc w:val="center"/>
        <w:textAlignment w:val="baseline"/>
        <w:rPr>
          <w:sz w:val="23"/>
          <w:szCs w:val="23"/>
        </w:rPr>
      </w:pPr>
      <w:r>
        <w:rPr>
          <w:sz w:val="23"/>
          <w:szCs w:val="23"/>
        </w:rPr>
        <w:t>2</w:t>
      </w:r>
    </w:p>
    <w:sectPr w:rsidR="00DE3E40" w:rsidSect="00DE3E40">
      <w:type w:val="continuous"/>
      <w:pgSz w:w="12240" w:h="15840"/>
      <w:pgMar w:top="1360" w:right="2147" w:bottom="1044" w:left="21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BD8E"/>
    <w:multiLevelType w:val="singleLevel"/>
    <w:tmpl w:val="2F7418A7"/>
    <w:lvl w:ilvl="0">
      <w:start w:val="1"/>
      <w:numFmt w:val="decimal"/>
      <w:lvlText w:val="%1."/>
      <w:lvlJc w:val="left"/>
      <w:pPr>
        <w:tabs>
          <w:tab w:val="num" w:pos="360"/>
        </w:tabs>
        <w:ind w:left="72"/>
      </w:pPr>
      <w:rPr>
        <w:rFonts w:ascii="Arial" w:hAnsi="Arial" w:cs="Arial"/>
        <w:i/>
        <w:iCs/>
        <w:snapToGrid/>
        <w:spacing w:val="-4"/>
        <w:sz w:val="24"/>
        <w:szCs w:val="24"/>
      </w:rPr>
    </w:lvl>
  </w:abstractNum>
  <w:num w:numId="1">
    <w:abstractNumId w:val="0"/>
  </w:num>
  <w:num w:numId="2">
    <w:abstractNumId w:val="0"/>
    <w:lvlOverride w:ilvl="0">
      <w:lvl w:ilvl="0">
        <w:numFmt w:val="decimal"/>
        <w:lvlText w:val="%1."/>
        <w:lvlJc w:val="left"/>
        <w:pPr>
          <w:tabs>
            <w:tab w:val="num" w:pos="360"/>
          </w:tabs>
          <w:ind w:left="72"/>
        </w:pPr>
        <w:rPr>
          <w:rFonts w:ascii="Arial" w:hAnsi="Arial" w:cs="Arial"/>
          <w:snapToGrid/>
          <w:sz w:val="24"/>
          <w:szCs w:val="24"/>
        </w:rPr>
      </w:lvl>
    </w:lvlOverride>
  </w:num>
  <w:num w:numId="3">
    <w:abstractNumId w:val="0"/>
    <w:lvlOverride w:ilvl="0">
      <w:lvl w:ilvl="0">
        <w:numFmt w:val="decimal"/>
        <w:lvlText w:val="%1."/>
        <w:lvlJc w:val="left"/>
        <w:pPr>
          <w:tabs>
            <w:tab w:val="num" w:pos="360"/>
          </w:tabs>
          <w:ind w:left="72"/>
        </w:pPr>
        <w:rPr>
          <w:rFonts w:ascii="Arial" w:hAnsi="Arial" w:cs="Arial"/>
          <w:i/>
          <w:iCs/>
          <w:snapToGrid/>
          <w:spacing w:val="-7"/>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40"/>
    <w:rsid w:val="00295724"/>
    <w:rsid w:val="00DE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EC3BF2"/>
  <w14:defaultImageDpi w14:val="0"/>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2017-12-30T20:45:00Z</dcterms:created>
  <dcterms:modified xsi:type="dcterms:W3CDTF">2017-12-30T20:45:00Z</dcterms:modified>
</cp:coreProperties>
</file>