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1A79" w14:textId="77777777" w:rsidR="00C40044" w:rsidRPr="00B347F2" w:rsidRDefault="00B347F2">
      <w:pPr>
        <w:spacing w:before="44" w:line="332" w:lineRule="exact"/>
        <w:jc w:val="center"/>
        <w:textAlignment w:val="baseline"/>
        <w:rPr>
          <w:rFonts w:ascii="Arial" w:eastAsia="Arial" w:hAnsi="Arial"/>
          <w:b/>
          <w:color w:val="000000"/>
          <w:spacing w:val="-2"/>
          <w:sz w:val="30"/>
        </w:rPr>
      </w:pPr>
      <w:r w:rsidRPr="00B347F2">
        <w:rPr>
          <w:rFonts w:ascii="Arial" w:eastAsia="Arial" w:hAnsi="Arial"/>
          <w:b/>
          <w:color w:val="000000"/>
          <w:spacing w:val="-2"/>
          <w:sz w:val="30"/>
        </w:rPr>
        <w:t>Inconsistent Statements</w:t>
      </w:r>
      <w:r w:rsidRPr="00B347F2">
        <w:rPr>
          <w:rFonts w:ascii="Arial" w:eastAsia="Arial" w:hAnsi="Arial"/>
          <w:b/>
          <w:color w:val="000000"/>
          <w:spacing w:val="-2"/>
          <w:sz w:val="30"/>
          <w:vertAlign w:val="superscript"/>
        </w:rPr>
        <w:t>1</w:t>
      </w:r>
      <w:r w:rsidRPr="00B347F2">
        <w:rPr>
          <w:rFonts w:ascii="Arial" w:eastAsia="Arial" w:hAnsi="Arial"/>
          <w:b/>
          <w:color w:val="000000"/>
          <w:spacing w:val="-2"/>
          <w:sz w:val="17"/>
        </w:rPr>
        <w:t xml:space="preserve"> </w:t>
      </w:r>
    </w:p>
    <w:p w14:paraId="29BE1A7A" w14:textId="77777777" w:rsidR="00C40044" w:rsidRDefault="00B347F2">
      <w:pPr>
        <w:spacing w:before="326" w:line="325" w:lineRule="exact"/>
        <w:ind w:firstLine="720"/>
        <w:jc w:val="both"/>
        <w:textAlignment w:val="baseline"/>
        <w:rPr>
          <w:rFonts w:ascii="Arial" w:eastAsia="Arial" w:hAnsi="Arial"/>
          <w:color w:val="000000"/>
          <w:sz w:val="28"/>
        </w:rPr>
      </w:pPr>
      <w:r>
        <w:rPr>
          <w:rFonts w:ascii="Arial" w:eastAsia="Arial" w:hAnsi="Arial"/>
          <w:color w:val="000000"/>
          <w:sz w:val="28"/>
        </w:rPr>
        <w:t>You may consider whether a witness made statements at this trial that are inconsistent with each other.</w:t>
      </w:r>
    </w:p>
    <w:p w14:paraId="29BE1A7B" w14:textId="77777777" w:rsidR="00C40044" w:rsidRDefault="00B347F2">
      <w:pPr>
        <w:spacing w:before="320"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You may also consider whether a witness made previous statements that are inconsistent with his or her testimony at trial.</w:t>
      </w:r>
    </w:p>
    <w:p w14:paraId="29BE1A7C" w14:textId="77777777" w:rsidR="00C40044" w:rsidRDefault="00B347F2">
      <w:pPr>
        <w:spacing w:before="328" w:line="317" w:lineRule="exact"/>
        <w:jc w:val="both"/>
        <w:textAlignment w:val="baseline"/>
        <w:rPr>
          <w:rFonts w:ascii="Arial" w:eastAsia="Arial" w:hAnsi="Arial"/>
          <w:i/>
          <w:color w:val="000000"/>
          <w:sz w:val="28"/>
        </w:rPr>
      </w:pPr>
      <w:r>
        <w:rPr>
          <w:rFonts w:ascii="Arial" w:eastAsia="Arial" w:hAnsi="Arial"/>
          <w:i/>
          <w:color w:val="000000"/>
          <w:sz w:val="28"/>
        </w:rPr>
        <w:t>[Add if appropriate:</w:t>
      </w:r>
    </w:p>
    <w:p w14:paraId="29BE1A7D" w14:textId="77777777" w:rsidR="00C40044" w:rsidRDefault="00B347F2">
      <w:pPr>
        <w:spacing w:line="322"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You may consider whether a witness testified to a fact here at trial that the witness omitted to state, at a prior time, when it would have been reasonable and logical for the witness to have stated the fact. In determining whether it </w:t>
      </w:r>
      <w:r>
        <w:rPr>
          <w:rFonts w:ascii="Arial" w:eastAsia="Arial" w:hAnsi="Arial"/>
          <w:color w:val="000000"/>
          <w:spacing w:val="-4"/>
          <w:sz w:val="28"/>
        </w:rPr>
        <w:t>would have been reasonable and logical for the witness to have stated the omitted fact, you may consider whether the witness' attention was called to the matter and whether the witness was specifically asked about it.</w:t>
      </w:r>
      <w:r>
        <w:rPr>
          <w:rFonts w:ascii="Arial" w:eastAsia="Arial" w:hAnsi="Arial"/>
          <w:color w:val="000000"/>
          <w:spacing w:val="-4"/>
          <w:sz w:val="28"/>
          <w:vertAlign w:val="superscript"/>
        </w:rPr>
        <w:t>2</w:t>
      </w:r>
      <w:r>
        <w:rPr>
          <w:rFonts w:ascii="Arial" w:eastAsia="Arial" w:hAnsi="Arial"/>
          <w:color w:val="000000"/>
          <w:spacing w:val="-4"/>
          <w:sz w:val="28"/>
        </w:rPr>
        <w:t>]</w:t>
      </w:r>
    </w:p>
    <w:p w14:paraId="29BE1A7E" w14:textId="77777777" w:rsidR="00C40044" w:rsidRDefault="00B347F2">
      <w:pPr>
        <w:spacing w:before="333" w:line="325" w:lineRule="exact"/>
        <w:ind w:firstLine="720"/>
        <w:jc w:val="both"/>
        <w:textAlignment w:val="baseline"/>
        <w:rPr>
          <w:rFonts w:ascii="Arial" w:eastAsia="Arial" w:hAnsi="Arial"/>
          <w:color w:val="000000"/>
          <w:sz w:val="28"/>
        </w:rPr>
      </w:pPr>
      <w:r>
        <w:rPr>
          <w:rFonts w:ascii="Arial" w:eastAsia="Arial" w:hAnsi="Arial"/>
          <w:color w:val="000000"/>
          <w:sz w:val="28"/>
        </w:rPr>
        <w:t>If a witness has made such inconsistent statements [or omissions], you may consider whether and to what extent they affect the truthfulness or accuracy of that witness's testimony here at this trial.</w:t>
      </w:r>
    </w:p>
    <w:p w14:paraId="29BE1A7F" w14:textId="77777777" w:rsidR="00C40044" w:rsidRDefault="00B347F2">
      <w:pPr>
        <w:spacing w:before="319"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The contents of a prior inconsistent statement are not p</w:t>
      </w:r>
      <w:r>
        <w:rPr>
          <w:rFonts w:ascii="Arial" w:eastAsia="Arial" w:hAnsi="Arial"/>
          <w:color w:val="000000"/>
          <w:spacing w:val="-2"/>
          <w:sz w:val="28"/>
        </w:rPr>
        <w:t>roof of what happened. You may use evidence of a prior inconsistent statement only to evaluate the truthfulness or accuracy of the witness's testimony here at trial.</w:t>
      </w:r>
      <w:r>
        <w:rPr>
          <w:rFonts w:ascii="Arial" w:eastAsia="Arial" w:hAnsi="Arial"/>
          <w:color w:val="000000"/>
          <w:spacing w:val="-2"/>
          <w:sz w:val="28"/>
          <w:vertAlign w:val="superscript"/>
        </w:rPr>
        <w:t>3</w:t>
      </w:r>
      <w:r>
        <w:rPr>
          <w:rFonts w:ascii="Arial" w:eastAsia="Arial" w:hAnsi="Arial"/>
          <w:color w:val="000000"/>
          <w:spacing w:val="-2"/>
          <w:sz w:val="17"/>
        </w:rPr>
        <w:t xml:space="preserve"> </w:t>
      </w:r>
    </w:p>
    <w:p w14:paraId="29BE1A80" w14:textId="77777777" w:rsidR="00C40044" w:rsidRPr="00B347F2" w:rsidRDefault="00B347F2">
      <w:pPr>
        <w:spacing w:before="328" w:line="332" w:lineRule="exact"/>
        <w:jc w:val="center"/>
        <w:textAlignment w:val="baseline"/>
        <w:rPr>
          <w:rFonts w:ascii="Arial" w:eastAsia="Arial" w:hAnsi="Arial"/>
          <w:b/>
          <w:color w:val="000000"/>
          <w:spacing w:val="1"/>
          <w:sz w:val="30"/>
        </w:rPr>
      </w:pPr>
      <w:r w:rsidRPr="00B347F2">
        <w:rPr>
          <w:rFonts w:ascii="Arial" w:eastAsia="Arial" w:hAnsi="Arial"/>
          <w:b/>
          <w:color w:val="000000"/>
          <w:spacing w:val="1"/>
          <w:sz w:val="30"/>
        </w:rPr>
        <w:t>Consistency</w:t>
      </w:r>
    </w:p>
    <w:p w14:paraId="29BE1A81" w14:textId="77777777" w:rsidR="00C40044" w:rsidRDefault="00B347F2">
      <w:pPr>
        <w:spacing w:before="318" w:line="325" w:lineRule="exact"/>
        <w:ind w:firstLine="720"/>
        <w:jc w:val="both"/>
        <w:textAlignment w:val="baseline"/>
        <w:rPr>
          <w:rFonts w:ascii="Arial" w:eastAsia="Arial" w:hAnsi="Arial"/>
          <w:color w:val="000000"/>
          <w:sz w:val="28"/>
        </w:rPr>
      </w:pPr>
      <w:r>
        <w:rPr>
          <w:rFonts w:ascii="Arial" w:eastAsia="Arial" w:hAnsi="Arial"/>
          <w:color w:val="000000"/>
          <w:sz w:val="28"/>
        </w:rPr>
        <w:t>You may consider whether a witness's testimony is consistent with the testim</w:t>
      </w:r>
      <w:r>
        <w:rPr>
          <w:rFonts w:ascii="Arial" w:eastAsia="Arial" w:hAnsi="Arial"/>
          <w:color w:val="000000"/>
          <w:sz w:val="28"/>
        </w:rPr>
        <w:t>ony of other witnesses or with other evidence in the case.</w:t>
      </w:r>
    </w:p>
    <w:p w14:paraId="29BE1A82" w14:textId="77777777" w:rsidR="00C40044" w:rsidRDefault="00B347F2">
      <w:pPr>
        <w:spacing w:before="319"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If there were inconsistencies by or among witnesses, you may consider whether they were significant inconsistencies related to </w:t>
      </w:r>
      <w:proofErr w:type="gramStart"/>
      <w:r>
        <w:rPr>
          <w:rFonts w:ascii="Arial" w:eastAsia="Arial" w:hAnsi="Arial"/>
          <w:color w:val="000000"/>
          <w:sz w:val="28"/>
        </w:rPr>
        <w:t>important facts</w:t>
      </w:r>
      <w:proofErr w:type="gramEnd"/>
      <w:r>
        <w:rPr>
          <w:rFonts w:ascii="Arial" w:eastAsia="Arial" w:hAnsi="Arial"/>
          <w:color w:val="000000"/>
          <w:sz w:val="28"/>
        </w:rPr>
        <w:t>, or instead were the kind of minor inconsistencies tha</w:t>
      </w:r>
      <w:r>
        <w:rPr>
          <w:rFonts w:ascii="Arial" w:eastAsia="Arial" w:hAnsi="Arial"/>
          <w:color w:val="000000"/>
          <w:sz w:val="28"/>
        </w:rPr>
        <w:t>t one might expect from multiple witnesses to the same event?</w:t>
      </w:r>
    </w:p>
    <w:p w14:paraId="29BE1A83" w14:textId="77777777" w:rsidR="00C40044" w:rsidRDefault="00B347F2">
      <w:pPr>
        <w:spacing w:before="802" w:line="229" w:lineRule="exact"/>
        <w:jc w:val="center"/>
        <w:textAlignment w:val="baseline"/>
        <w:rPr>
          <w:rFonts w:ascii="Arial" w:eastAsia="Arial" w:hAnsi="Arial"/>
          <w:color w:val="000000"/>
          <w:sz w:val="20"/>
        </w:rPr>
      </w:pPr>
      <w:r>
        <w:rPr>
          <w:rFonts w:ascii="Arial" w:eastAsia="Arial" w:hAnsi="Arial"/>
          <w:color w:val="000000"/>
          <w:sz w:val="20"/>
        </w:rPr>
        <w:t>1</w:t>
      </w:r>
    </w:p>
    <w:p w14:paraId="29BE1A84" w14:textId="77777777" w:rsidR="00C40044" w:rsidRDefault="00C40044">
      <w:pPr>
        <w:sectPr w:rsidR="00C40044">
          <w:pgSz w:w="12240" w:h="15840"/>
          <w:pgMar w:top="1040" w:right="2140" w:bottom="664" w:left="2160" w:header="720" w:footer="720" w:gutter="0"/>
          <w:cols w:space="720"/>
        </w:sectPr>
      </w:pPr>
      <w:bookmarkStart w:id="0" w:name="_GoBack"/>
      <w:bookmarkEnd w:id="0"/>
    </w:p>
    <w:p w14:paraId="29BE1A85" w14:textId="77777777" w:rsidR="00C40044" w:rsidRDefault="00B347F2">
      <w:pPr>
        <w:numPr>
          <w:ilvl w:val="0"/>
          <w:numId w:val="1"/>
        </w:numPr>
        <w:spacing w:before="371" w:line="270" w:lineRule="exact"/>
        <w:textAlignment w:val="baseline"/>
        <w:rPr>
          <w:rFonts w:ascii="Arial" w:eastAsia="Arial" w:hAnsi="Arial"/>
          <w:i/>
          <w:color w:val="000000"/>
          <w:sz w:val="24"/>
        </w:rPr>
      </w:pPr>
      <w:r>
        <w:lastRenderedPageBreak/>
        <w:pict w14:anchorId="29BE1A88">
          <v:line id="_x0000_s1027" style="position:absolute;left:0;text-align:left;z-index:251657216;mso-position-horizontal-relative:page;mso-position-vertical-relative:page" from="107.65pt,54.25pt" to="504.7pt,54.25pt" strokeweight="1.2pt">
            <w10:wrap anchorx="page" anchory="page"/>
          </v:line>
        </w:pict>
      </w:r>
      <w:r>
        <w:rPr>
          <w:rFonts w:ascii="Arial" w:eastAsia="Arial" w:hAnsi="Arial"/>
          <w:i/>
          <w:color w:val="000000"/>
          <w:sz w:val="24"/>
        </w:rPr>
        <w:t xml:space="preserve">See People v Duncan, </w:t>
      </w:r>
      <w:r>
        <w:rPr>
          <w:rFonts w:ascii="Arial" w:eastAsia="Arial" w:hAnsi="Arial"/>
          <w:color w:val="000000"/>
          <w:sz w:val="24"/>
        </w:rPr>
        <w:t>46 NY2d 74, 80 (1978).</w:t>
      </w:r>
    </w:p>
    <w:p w14:paraId="29BE1A86" w14:textId="77777777" w:rsidR="00C40044" w:rsidRDefault="00B347F2">
      <w:pPr>
        <w:numPr>
          <w:ilvl w:val="0"/>
          <w:numId w:val="1"/>
        </w:numPr>
        <w:spacing w:before="233" w:line="281" w:lineRule="exact"/>
        <w:textAlignment w:val="baseline"/>
        <w:rPr>
          <w:rFonts w:ascii="Arial" w:eastAsia="Arial" w:hAnsi="Arial"/>
          <w:i/>
          <w:color w:val="000000"/>
          <w:sz w:val="24"/>
        </w:rPr>
      </w:pPr>
      <w:r>
        <w:rPr>
          <w:rFonts w:ascii="Arial" w:eastAsia="Arial" w:hAnsi="Arial"/>
          <w:i/>
          <w:color w:val="000000"/>
          <w:sz w:val="24"/>
        </w:rPr>
        <w:t xml:space="preserve">See People v Bornholdt, </w:t>
      </w:r>
      <w:r>
        <w:rPr>
          <w:rFonts w:ascii="Arial" w:eastAsia="Arial" w:hAnsi="Arial"/>
          <w:color w:val="000000"/>
          <w:sz w:val="24"/>
        </w:rPr>
        <w:t xml:space="preserve">33 NY2d 75, 88 (1973); </w:t>
      </w:r>
      <w:r>
        <w:rPr>
          <w:rFonts w:ascii="Arial" w:eastAsia="Arial" w:hAnsi="Arial"/>
          <w:i/>
          <w:color w:val="000000"/>
          <w:sz w:val="24"/>
        </w:rPr>
        <w:t>People v Savage</w:t>
      </w:r>
      <w:r>
        <w:rPr>
          <w:rFonts w:ascii="Arial" w:eastAsia="Arial" w:hAnsi="Arial"/>
          <w:color w:val="000000"/>
          <w:sz w:val="24"/>
        </w:rPr>
        <w:t xml:space="preserve">, 50 NY2d 673 (1980); </w:t>
      </w:r>
      <w:r>
        <w:rPr>
          <w:rFonts w:ascii="Arial" w:eastAsia="Arial" w:hAnsi="Arial"/>
          <w:i/>
          <w:color w:val="000000"/>
          <w:sz w:val="24"/>
        </w:rPr>
        <w:t>People v Medina</w:t>
      </w:r>
      <w:r>
        <w:rPr>
          <w:rFonts w:ascii="Arial" w:eastAsia="Arial" w:hAnsi="Arial"/>
          <w:color w:val="000000"/>
          <w:sz w:val="24"/>
        </w:rPr>
        <w:t xml:space="preserve">, 249 AD2d 166 (1st Dept 1998); </w:t>
      </w:r>
      <w:r>
        <w:rPr>
          <w:rFonts w:ascii="Arial" w:eastAsia="Arial" w:hAnsi="Arial"/>
          <w:i/>
          <w:color w:val="000000"/>
          <w:sz w:val="24"/>
        </w:rPr>
        <w:t>People v Byrd</w:t>
      </w:r>
      <w:r>
        <w:rPr>
          <w:rFonts w:ascii="Arial" w:eastAsia="Arial" w:hAnsi="Arial"/>
          <w:color w:val="000000"/>
          <w:sz w:val="24"/>
        </w:rPr>
        <w:t>, 284 AD2d 201 (1st Dept 2001).</w:t>
      </w:r>
    </w:p>
    <w:p w14:paraId="29BE1A87" w14:textId="77777777" w:rsidR="00C40044" w:rsidRDefault="00B347F2">
      <w:pPr>
        <w:numPr>
          <w:ilvl w:val="0"/>
          <w:numId w:val="1"/>
        </w:numPr>
        <w:spacing w:before="248" w:line="269" w:lineRule="exact"/>
        <w:textAlignment w:val="baseline"/>
        <w:rPr>
          <w:rFonts w:ascii="Arial" w:eastAsia="Arial" w:hAnsi="Arial"/>
          <w:color w:val="000000"/>
          <w:spacing w:val="-1"/>
          <w:sz w:val="24"/>
        </w:rPr>
      </w:pPr>
      <w:r>
        <w:pict w14:anchorId="29BE1A8A">
          <v:shapetype id="_x0000_t202" coordsize="21600,21600" o:spt="202" path="m,l,21600r21600,l21600,xe">
            <v:stroke joinstyle="miter"/>
            <v:path gradientshapeok="t" o:connecttype="rect"/>
          </v:shapetype>
          <v:shape id="_x0000_s0" o:spid="_x0000_s1026" type="#_x0000_t202" style="position:absolute;left:0;text-align:left;margin-left:299.6pt;margin-top:727.25pt;width:12.3pt;height:10.9pt;z-index:-251658240;mso-wrap-distance-left:0;mso-wrap-distance-right:0;mso-position-horizontal-relative:page;mso-position-vertical-relative:page" filled="f" stroked="f">
            <v:textbox inset="0,0,0,0">
              <w:txbxContent>
                <w:p w14:paraId="29BE1A8B" w14:textId="77777777" w:rsidR="00C40044" w:rsidRDefault="00B347F2">
                  <w:pPr>
                    <w:spacing w:line="215" w:lineRule="exact"/>
                    <w:jc w:val="center"/>
                    <w:textAlignment w:val="baseline"/>
                    <w:rPr>
                      <w:rFonts w:ascii="Arial" w:eastAsia="Arial" w:hAnsi="Arial"/>
                      <w:color w:val="000000"/>
                      <w:sz w:val="19"/>
                    </w:rPr>
                  </w:pPr>
                  <w:r>
                    <w:rPr>
                      <w:rFonts w:ascii="Arial" w:eastAsia="Arial" w:hAnsi="Arial"/>
                      <w:color w:val="000000"/>
                      <w:sz w:val="19"/>
                    </w:rPr>
                    <w:t>2</w:t>
                  </w:r>
                </w:p>
              </w:txbxContent>
            </v:textbox>
            <w10:wrap type="square" anchorx="page" anchory="page"/>
          </v:shape>
        </w:pict>
      </w:r>
      <w:r>
        <w:rPr>
          <w:rFonts w:ascii="Arial" w:eastAsia="Arial" w:hAnsi="Arial"/>
          <w:color w:val="000000"/>
          <w:spacing w:val="-1"/>
          <w:sz w:val="24"/>
        </w:rPr>
        <w:t>CPL 60.35 (2).</w:t>
      </w:r>
    </w:p>
    <w:sectPr w:rsidR="00C40044">
      <w:pgSz w:w="12240" w:h="15840"/>
      <w:pgMar w:top="1060" w:right="2147" w:bottom="899"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912C7"/>
    <w:multiLevelType w:val="multilevel"/>
    <w:tmpl w:val="FBFEDA78"/>
    <w:lvl w:ilvl="0">
      <w:start w:val="1"/>
      <w:numFmt w:val="decimal"/>
      <w:lvlText w:val="%1."/>
      <w:lvlJc w:val="left"/>
      <w:pPr>
        <w:tabs>
          <w:tab w:val="left" w:pos="288"/>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40044"/>
    <w:rsid w:val="00B347F2"/>
    <w:rsid w:val="00C4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BE1A79"/>
  <w15:docId w15:val="{9C4EC3E1-168B-4815-AEF7-E9BF7D5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2017-12-28T21:15:00Z</dcterms:created>
  <dcterms:modified xsi:type="dcterms:W3CDTF">2017-12-28T21:15:00Z</dcterms:modified>
</cp:coreProperties>
</file>