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4B1C" w14:textId="77777777" w:rsidR="009C4A25" w:rsidRDefault="009C4A25" w:rsidP="009C4A25">
      <w:pPr>
        <w:jc w:val="center"/>
        <w:rPr>
          <w:rFonts w:ascii="Arial" w:hAnsi="Arial" w:cs="Arial"/>
          <w:b/>
          <w:bCs/>
          <w:sz w:val="28"/>
          <w:szCs w:val="28"/>
        </w:rPr>
      </w:pPr>
      <w:r w:rsidRPr="009C4A25">
        <w:rPr>
          <w:rFonts w:ascii="Arial" w:hAnsi="Arial" w:cs="Arial"/>
          <w:b/>
          <w:bCs/>
          <w:sz w:val="28"/>
          <w:szCs w:val="28"/>
        </w:rPr>
        <w:t>CORROBORATION OF UNSWORN WITNESS</w:t>
      </w:r>
    </w:p>
    <w:p w14:paraId="0554AE5E" w14:textId="071C91AE" w:rsidR="00722647" w:rsidRPr="00722647" w:rsidRDefault="00722647" w:rsidP="009C4A25">
      <w:pPr>
        <w:jc w:val="center"/>
        <w:rPr>
          <w:rFonts w:ascii="Arial" w:hAnsi="Arial" w:cs="Arial"/>
          <w:sz w:val="24"/>
          <w:szCs w:val="24"/>
        </w:rPr>
      </w:pPr>
      <w:r w:rsidRPr="00722647">
        <w:rPr>
          <w:rFonts w:ascii="Arial" w:hAnsi="Arial" w:cs="Arial"/>
          <w:sz w:val="24"/>
          <w:szCs w:val="24"/>
        </w:rPr>
        <w:t>(Revised May 2022)</w:t>
      </w:r>
      <w:r>
        <w:rPr>
          <w:rStyle w:val="EndnoteReference"/>
          <w:rFonts w:ascii="Arial" w:hAnsi="Arial" w:cs="Arial"/>
          <w:sz w:val="24"/>
          <w:szCs w:val="24"/>
        </w:rPr>
        <w:endnoteReference w:id="1"/>
      </w:r>
    </w:p>
    <w:p w14:paraId="496D4910" w14:textId="77777777" w:rsidR="009C4A25" w:rsidRPr="009C4A25" w:rsidRDefault="009C4A25" w:rsidP="009C4A25">
      <w:pPr>
        <w:rPr>
          <w:rFonts w:ascii="Arial" w:hAnsi="Arial" w:cs="Arial"/>
          <w:sz w:val="28"/>
          <w:szCs w:val="28"/>
        </w:rPr>
      </w:pPr>
      <w:r w:rsidRPr="009C4A25">
        <w:rPr>
          <w:rFonts w:ascii="Arial" w:hAnsi="Arial" w:cs="Arial"/>
          <w:sz w:val="28"/>
          <w:szCs w:val="28"/>
        </w:rPr>
        <w:t xml:space="preserve"> </w:t>
      </w:r>
    </w:p>
    <w:p w14:paraId="0098C721" w14:textId="74C842E9" w:rsidR="009C4A25" w:rsidRPr="009C4A25" w:rsidRDefault="009C4A25" w:rsidP="00B06F14">
      <w:pPr>
        <w:ind w:firstLine="720"/>
        <w:jc w:val="both"/>
        <w:rPr>
          <w:rFonts w:ascii="Arial" w:hAnsi="Arial" w:cs="Arial"/>
          <w:sz w:val="28"/>
          <w:szCs w:val="28"/>
        </w:rPr>
      </w:pPr>
      <w:r w:rsidRPr="009C4A25">
        <w:rPr>
          <w:rFonts w:ascii="Arial" w:hAnsi="Arial" w:cs="Arial"/>
          <w:sz w:val="28"/>
          <w:szCs w:val="28"/>
        </w:rPr>
        <w:t>(</w:t>
      </w:r>
      <w:r w:rsidRPr="00B06F14">
        <w:rPr>
          <w:rFonts w:ascii="Arial" w:hAnsi="Arial" w:cs="Arial"/>
          <w:i/>
          <w:iCs/>
          <w:sz w:val="28"/>
          <w:szCs w:val="28"/>
          <w:u w:val="single"/>
        </w:rPr>
        <w:t>Specify</w:t>
      </w:r>
      <w:r w:rsidRPr="009C4A25">
        <w:rPr>
          <w:rFonts w:ascii="Arial" w:hAnsi="Arial" w:cs="Arial"/>
          <w:sz w:val="28"/>
          <w:szCs w:val="28"/>
        </w:rPr>
        <w:t>) did not testify under oath and therefore gave unsworn testimony.</w:t>
      </w:r>
      <w:r w:rsidR="00074CED">
        <w:rPr>
          <w:rStyle w:val="EndnoteReference"/>
          <w:rFonts w:ascii="Arial" w:hAnsi="Arial" w:cs="Arial"/>
          <w:sz w:val="28"/>
          <w:szCs w:val="28"/>
        </w:rPr>
        <w:endnoteReference w:id="2"/>
      </w:r>
    </w:p>
    <w:p w14:paraId="001BE814" w14:textId="77777777" w:rsidR="009C4A25" w:rsidRPr="009C4A25" w:rsidRDefault="009C4A25" w:rsidP="00B06F14">
      <w:pPr>
        <w:ind w:firstLine="720"/>
        <w:jc w:val="both"/>
        <w:rPr>
          <w:rFonts w:ascii="Arial" w:hAnsi="Arial" w:cs="Arial"/>
          <w:sz w:val="28"/>
          <w:szCs w:val="28"/>
        </w:rPr>
      </w:pPr>
      <w:r w:rsidRPr="009C4A25">
        <w:rPr>
          <w:rFonts w:ascii="Arial" w:hAnsi="Arial" w:cs="Arial"/>
          <w:sz w:val="28"/>
          <w:szCs w:val="28"/>
        </w:rPr>
        <w:t>Under our law, a defendant may not be convicted of an offense solely upon unsworn testimony.</w:t>
      </w:r>
    </w:p>
    <w:p w14:paraId="49A2E563" w14:textId="77777777" w:rsidR="009C4A25" w:rsidRPr="009C4A25" w:rsidRDefault="009C4A25" w:rsidP="00B06F14">
      <w:pPr>
        <w:ind w:firstLine="720"/>
        <w:jc w:val="both"/>
        <w:rPr>
          <w:rFonts w:ascii="Arial" w:hAnsi="Arial" w:cs="Arial"/>
          <w:sz w:val="28"/>
          <w:szCs w:val="28"/>
        </w:rPr>
      </w:pPr>
      <w:r w:rsidRPr="009C4A25">
        <w:rPr>
          <w:rFonts w:ascii="Arial" w:hAnsi="Arial" w:cs="Arial"/>
          <w:sz w:val="28"/>
          <w:szCs w:val="28"/>
        </w:rPr>
        <w:t>Therefore, before you may convict the defendant upon the testimony of (</w:t>
      </w:r>
      <w:r w:rsidRPr="00B06F14">
        <w:rPr>
          <w:rFonts w:ascii="Arial" w:hAnsi="Arial" w:cs="Arial"/>
          <w:i/>
          <w:iCs/>
          <w:sz w:val="28"/>
          <w:szCs w:val="28"/>
          <w:u w:val="single"/>
        </w:rPr>
        <w:t>specify</w:t>
      </w:r>
      <w:r w:rsidRPr="009C4A25">
        <w:rPr>
          <w:rFonts w:ascii="Arial" w:hAnsi="Arial" w:cs="Arial"/>
          <w:sz w:val="28"/>
          <w:szCs w:val="28"/>
        </w:rPr>
        <w:t>) you must find that his/her testimony is truthful and accurate and that it is supported by other evidence which:</w:t>
      </w:r>
    </w:p>
    <w:p w14:paraId="0946ED0E" w14:textId="77777777" w:rsidR="009C4A25" w:rsidRPr="009C4A25" w:rsidRDefault="009C4A25" w:rsidP="009C4A25">
      <w:pPr>
        <w:ind w:left="720"/>
        <w:jc w:val="both"/>
        <w:rPr>
          <w:rFonts w:ascii="Arial" w:hAnsi="Arial" w:cs="Arial"/>
          <w:sz w:val="28"/>
          <w:szCs w:val="28"/>
        </w:rPr>
      </w:pPr>
      <w:r w:rsidRPr="009C4A25">
        <w:rPr>
          <w:rFonts w:ascii="Arial" w:hAnsi="Arial" w:cs="Arial"/>
          <w:sz w:val="28"/>
          <w:szCs w:val="28"/>
        </w:rPr>
        <w:t>tends to establish that the offense was in fact committed; and</w:t>
      </w:r>
    </w:p>
    <w:p w14:paraId="0100F740" w14:textId="19596C9A" w:rsidR="009C4A25" w:rsidRDefault="009C4A25" w:rsidP="009C4A25">
      <w:pPr>
        <w:ind w:left="720"/>
        <w:jc w:val="both"/>
        <w:rPr>
          <w:rFonts w:ascii="Arial" w:hAnsi="Arial" w:cs="Arial"/>
          <w:sz w:val="28"/>
          <w:szCs w:val="28"/>
          <w:vertAlign w:val="superscript"/>
        </w:rPr>
      </w:pPr>
      <w:r w:rsidRPr="009C4A25">
        <w:rPr>
          <w:rFonts w:ascii="Arial" w:hAnsi="Arial" w:cs="Arial"/>
          <w:sz w:val="28"/>
          <w:szCs w:val="28"/>
        </w:rPr>
        <w:t>tends to connect the defendant with the commission of the offense.</w:t>
      </w:r>
      <w:r w:rsidR="00074CED">
        <w:rPr>
          <w:rStyle w:val="EndnoteReference"/>
          <w:rFonts w:ascii="Arial" w:hAnsi="Arial" w:cs="Arial"/>
          <w:sz w:val="28"/>
          <w:szCs w:val="28"/>
        </w:rPr>
        <w:endnoteReference w:id="3"/>
      </w:r>
    </w:p>
    <w:p w14:paraId="2CE94EE2" w14:textId="77777777" w:rsidR="00B06F14" w:rsidRDefault="00B06F14" w:rsidP="00B06F14">
      <w:pPr>
        <w:jc w:val="both"/>
        <w:rPr>
          <w:rFonts w:ascii="Arial" w:hAnsi="Arial" w:cs="Arial"/>
          <w:i/>
          <w:iCs/>
          <w:color w:val="0070C0"/>
          <w:sz w:val="28"/>
          <w:szCs w:val="28"/>
        </w:rPr>
      </w:pPr>
    </w:p>
    <w:p w14:paraId="085DB923" w14:textId="579C9412" w:rsidR="009C4A25" w:rsidRPr="00C5673B" w:rsidRDefault="0082329C" w:rsidP="00614894">
      <w:pPr>
        <w:spacing w:after="0"/>
        <w:jc w:val="both"/>
        <w:rPr>
          <w:rFonts w:ascii="Arial" w:hAnsi="Arial" w:cs="Arial"/>
          <w:i/>
          <w:iCs/>
          <w:sz w:val="28"/>
          <w:szCs w:val="28"/>
        </w:rPr>
      </w:pPr>
      <w:r w:rsidRPr="00C5673B">
        <w:rPr>
          <w:rFonts w:ascii="Arial" w:hAnsi="Arial" w:cs="Arial"/>
          <w:i/>
          <w:iCs/>
          <w:sz w:val="28"/>
          <w:szCs w:val="28"/>
        </w:rPr>
        <w:t>[</w:t>
      </w:r>
      <w:r w:rsidR="00191B27" w:rsidRPr="00C5673B">
        <w:rPr>
          <w:rFonts w:ascii="Arial" w:hAnsi="Arial" w:cs="Arial"/>
          <w:i/>
          <w:iCs/>
          <w:sz w:val="28"/>
          <w:szCs w:val="28"/>
        </w:rPr>
        <w:t>A</w:t>
      </w:r>
      <w:r w:rsidR="009C4A25" w:rsidRPr="00C5673B">
        <w:rPr>
          <w:rFonts w:ascii="Arial" w:hAnsi="Arial" w:cs="Arial"/>
          <w:i/>
          <w:iCs/>
          <w:sz w:val="28"/>
          <w:szCs w:val="28"/>
        </w:rPr>
        <w:t>dd where appropriate:</w:t>
      </w:r>
    </w:p>
    <w:p w14:paraId="382E6578" w14:textId="2D4A4149" w:rsidR="008E3F2F" w:rsidRDefault="00FC7A67" w:rsidP="00614894">
      <w:pPr>
        <w:spacing w:after="0"/>
        <w:ind w:firstLine="720"/>
        <w:jc w:val="both"/>
        <w:rPr>
          <w:rFonts w:ascii="Arial" w:hAnsi="Arial" w:cs="Arial"/>
          <w:sz w:val="28"/>
          <w:szCs w:val="28"/>
        </w:rPr>
      </w:pPr>
      <w:r w:rsidRPr="00C5673B">
        <w:rPr>
          <w:rFonts w:ascii="Arial" w:hAnsi="Arial" w:cs="Arial"/>
          <w:sz w:val="28"/>
          <w:szCs w:val="28"/>
        </w:rPr>
        <w:t>You have heard testimony that</w:t>
      </w:r>
      <w:r w:rsidR="00707A14" w:rsidRPr="00C5673B">
        <w:rPr>
          <w:rFonts w:ascii="Arial" w:hAnsi="Arial" w:cs="Arial"/>
          <w:sz w:val="28"/>
          <w:szCs w:val="28"/>
        </w:rPr>
        <w:t xml:space="preserve"> (</w:t>
      </w:r>
      <w:r w:rsidR="00707A14" w:rsidRPr="00C5673B">
        <w:rPr>
          <w:rFonts w:ascii="Arial" w:hAnsi="Arial" w:cs="Arial"/>
          <w:i/>
          <w:iCs/>
          <w:sz w:val="28"/>
          <w:szCs w:val="28"/>
          <w:u w:val="single"/>
        </w:rPr>
        <w:t>specify</w:t>
      </w:r>
      <w:r w:rsidR="00707A14" w:rsidRPr="00C5673B">
        <w:rPr>
          <w:rFonts w:ascii="Arial" w:hAnsi="Arial" w:cs="Arial"/>
          <w:sz w:val="28"/>
          <w:szCs w:val="28"/>
        </w:rPr>
        <w:t>) told another that he/she had been (</w:t>
      </w:r>
      <w:r w:rsidR="00707A14" w:rsidRPr="00C5673B">
        <w:rPr>
          <w:rFonts w:ascii="Arial" w:hAnsi="Arial" w:cs="Arial"/>
          <w:i/>
          <w:iCs/>
          <w:sz w:val="28"/>
          <w:szCs w:val="28"/>
          <w:u w:val="single"/>
        </w:rPr>
        <w:t>specify,</w:t>
      </w:r>
      <w:r w:rsidR="00707A14" w:rsidRPr="00C5673B">
        <w:rPr>
          <w:rFonts w:ascii="Arial" w:hAnsi="Arial" w:cs="Arial"/>
          <w:sz w:val="28"/>
          <w:szCs w:val="28"/>
        </w:rPr>
        <w:t xml:space="preserve"> e.g. sexually abused)</w:t>
      </w:r>
      <w:r w:rsidRPr="00C5673B">
        <w:rPr>
          <w:rFonts w:ascii="Arial" w:hAnsi="Arial" w:cs="Arial"/>
          <w:sz w:val="28"/>
          <w:szCs w:val="28"/>
        </w:rPr>
        <w:t xml:space="preserve">.  </w:t>
      </w:r>
      <w:r w:rsidR="008A4D9E" w:rsidRPr="00C5673B">
        <w:rPr>
          <w:rFonts w:ascii="Arial" w:hAnsi="Arial" w:cs="Arial"/>
          <w:sz w:val="28"/>
          <w:szCs w:val="28"/>
        </w:rPr>
        <w:t>T</w:t>
      </w:r>
      <w:r w:rsidRPr="00C5673B">
        <w:rPr>
          <w:rFonts w:ascii="Arial" w:hAnsi="Arial" w:cs="Arial"/>
          <w:sz w:val="28"/>
          <w:szCs w:val="28"/>
        </w:rPr>
        <w:t xml:space="preserve">hough </w:t>
      </w:r>
      <w:r w:rsidR="003C632F" w:rsidRPr="00C5673B">
        <w:rPr>
          <w:rFonts w:ascii="Arial" w:hAnsi="Arial" w:cs="Arial"/>
          <w:sz w:val="28"/>
          <w:szCs w:val="28"/>
        </w:rPr>
        <w:t>you may accept that testimony</w:t>
      </w:r>
      <w:r w:rsidR="00707A14" w:rsidRPr="00C5673B">
        <w:rPr>
          <w:rFonts w:ascii="Arial" w:hAnsi="Arial" w:cs="Arial"/>
          <w:sz w:val="28"/>
          <w:szCs w:val="28"/>
        </w:rPr>
        <w:t>, it is by itself insufficient to corroborate his/her testimony.  If you find other corroborative evidence, however, you may consider it, along with that other evidence, on determining whether there is sufficient evidence of corroboration</w:t>
      </w:r>
      <w:r w:rsidR="009C4A25" w:rsidRPr="00C5673B">
        <w:rPr>
          <w:rFonts w:ascii="Arial" w:hAnsi="Arial" w:cs="Arial"/>
          <w:sz w:val="28"/>
          <w:szCs w:val="28"/>
        </w:rPr>
        <w:t>.</w:t>
      </w:r>
      <w:r w:rsidR="00686DCD">
        <w:rPr>
          <w:rStyle w:val="EndnoteReference"/>
          <w:rFonts w:ascii="Arial" w:hAnsi="Arial" w:cs="Arial"/>
          <w:sz w:val="28"/>
          <w:szCs w:val="28"/>
        </w:rPr>
        <w:endnoteReference w:id="4"/>
      </w:r>
      <w:r w:rsidR="00E73530" w:rsidRPr="00C5673B">
        <w:rPr>
          <w:rFonts w:ascii="Arial" w:hAnsi="Arial" w:cs="Arial"/>
          <w:sz w:val="28"/>
          <w:szCs w:val="28"/>
        </w:rPr>
        <w:t>]</w:t>
      </w:r>
      <w:r w:rsidR="009C4A25" w:rsidRPr="00C5673B">
        <w:rPr>
          <w:rFonts w:ascii="Arial" w:hAnsi="Arial" w:cs="Arial"/>
          <w:sz w:val="28"/>
          <w:szCs w:val="28"/>
        </w:rPr>
        <w:t xml:space="preserve"> </w:t>
      </w:r>
    </w:p>
    <w:p w14:paraId="0921B1AC" w14:textId="77777777" w:rsidR="00614894" w:rsidRPr="00614894" w:rsidRDefault="00614894" w:rsidP="00614894">
      <w:pPr>
        <w:spacing w:after="0"/>
        <w:ind w:firstLine="720"/>
        <w:jc w:val="both"/>
      </w:pPr>
    </w:p>
    <w:sectPr w:rsidR="00614894" w:rsidRPr="00614894" w:rsidSect="00707E4E">
      <w:endnotePr>
        <w:numFmt w:val="decimal"/>
      </w:endnotePr>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C770" w14:textId="77777777" w:rsidR="00794DD4" w:rsidRDefault="00794DD4" w:rsidP="009C4A25">
      <w:pPr>
        <w:spacing w:after="0" w:line="240" w:lineRule="auto"/>
      </w:pPr>
      <w:r>
        <w:separator/>
      </w:r>
    </w:p>
  </w:endnote>
  <w:endnote w:type="continuationSeparator" w:id="0">
    <w:p w14:paraId="5B92CC83" w14:textId="77777777" w:rsidR="00794DD4" w:rsidRDefault="00794DD4" w:rsidP="009C4A25">
      <w:pPr>
        <w:spacing w:after="0" w:line="240" w:lineRule="auto"/>
      </w:pPr>
      <w:r>
        <w:continuationSeparator/>
      </w:r>
    </w:p>
  </w:endnote>
  <w:endnote w:id="1">
    <w:p w14:paraId="6E0D8165" w14:textId="68A4B103" w:rsidR="00722647" w:rsidRPr="00074CED" w:rsidRDefault="00722647" w:rsidP="00074CED">
      <w:pPr>
        <w:pStyle w:val="EndnoteText"/>
        <w:jc w:val="both"/>
        <w:rPr>
          <w:rFonts w:ascii="Arial" w:hAnsi="Arial" w:cs="Arial"/>
          <w:sz w:val="22"/>
          <w:szCs w:val="22"/>
        </w:rPr>
      </w:pPr>
      <w:r w:rsidRPr="00074CED">
        <w:rPr>
          <w:rStyle w:val="EndnoteReference"/>
          <w:rFonts w:ascii="Arial" w:hAnsi="Arial" w:cs="Arial"/>
          <w:sz w:val="22"/>
          <w:szCs w:val="22"/>
        </w:rPr>
        <w:endnoteRef/>
      </w:r>
      <w:r w:rsidRPr="00074CED">
        <w:rPr>
          <w:rFonts w:ascii="Arial" w:hAnsi="Arial" w:cs="Arial"/>
          <w:sz w:val="22"/>
          <w:szCs w:val="22"/>
        </w:rPr>
        <w:t xml:space="preserve"> </w:t>
      </w:r>
      <w:r w:rsidR="006345C9" w:rsidRPr="00074CED">
        <w:rPr>
          <w:rFonts w:ascii="Arial" w:hAnsi="Arial" w:cs="Arial"/>
          <w:sz w:val="22"/>
          <w:szCs w:val="22"/>
        </w:rPr>
        <w:t xml:space="preserve"> The May 2022 revision was for the purpose of adding the </w:t>
      </w:r>
      <w:r w:rsidR="00074CED" w:rsidRPr="00074CED">
        <w:rPr>
          <w:rFonts w:ascii="Arial" w:hAnsi="Arial" w:cs="Arial"/>
          <w:sz w:val="22"/>
          <w:szCs w:val="22"/>
        </w:rPr>
        <w:t>“Add where appropriate” paragraph.</w:t>
      </w:r>
    </w:p>
    <w:p w14:paraId="3CCC71A2" w14:textId="77777777" w:rsidR="00074CED" w:rsidRPr="00074CED" w:rsidRDefault="00074CED" w:rsidP="00074CED">
      <w:pPr>
        <w:pStyle w:val="EndnoteText"/>
        <w:jc w:val="both"/>
        <w:rPr>
          <w:rFonts w:ascii="Arial" w:hAnsi="Arial" w:cs="Arial"/>
          <w:sz w:val="22"/>
          <w:szCs w:val="22"/>
        </w:rPr>
      </w:pPr>
    </w:p>
  </w:endnote>
  <w:endnote w:id="2">
    <w:p w14:paraId="2B42A48A" w14:textId="403ED748" w:rsidR="00EF4F23" w:rsidRDefault="00074CED" w:rsidP="00074CED">
      <w:pPr>
        <w:pStyle w:val="EndnoteText"/>
        <w:jc w:val="both"/>
        <w:rPr>
          <w:rFonts w:ascii="Arial" w:hAnsi="Arial" w:cs="Arial"/>
          <w:sz w:val="22"/>
          <w:szCs w:val="22"/>
        </w:rPr>
      </w:pPr>
      <w:r w:rsidRPr="00074CED">
        <w:rPr>
          <w:rStyle w:val="EndnoteReference"/>
          <w:rFonts w:ascii="Arial" w:hAnsi="Arial" w:cs="Arial"/>
          <w:sz w:val="22"/>
          <w:szCs w:val="22"/>
        </w:rPr>
        <w:endnoteRef/>
      </w:r>
      <w:r w:rsidRPr="00074CED">
        <w:rPr>
          <w:rFonts w:ascii="Arial" w:hAnsi="Arial" w:cs="Arial"/>
          <w:sz w:val="22"/>
          <w:szCs w:val="22"/>
        </w:rPr>
        <w:t xml:space="preserve"> </w:t>
      </w:r>
      <w:r w:rsidRPr="00074CED">
        <w:rPr>
          <w:rFonts w:ascii="Arial" w:hAnsi="Arial" w:cs="Arial"/>
          <w:sz w:val="22"/>
          <w:szCs w:val="22"/>
        </w:rPr>
        <w:t xml:space="preserve">A witness may be unsworn and give evidence only for a reason specified in CPL 60.20(1) and (2), and when that is permitted, this charge should be given.  </w:t>
      </w:r>
      <w:r w:rsidRPr="00074CED">
        <w:rPr>
          <w:rFonts w:ascii="Arial" w:hAnsi="Arial" w:cs="Arial"/>
          <w:i/>
          <w:iCs/>
          <w:sz w:val="22"/>
          <w:szCs w:val="22"/>
        </w:rPr>
        <w:t>See People v. Ward</w:t>
      </w:r>
      <w:r w:rsidRPr="00074CED">
        <w:rPr>
          <w:rFonts w:ascii="Arial" w:hAnsi="Arial" w:cs="Arial"/>
          <w:sz w:val="22"/>
          <w:szCs w:val="22"/>
        </w:rPr>
        <w:t>, 175 A.D.3d 722, 725 (2d Dept 2019) (“Since [the witness] refused to take the oath, and was not deemed to be ineligible to take the oath by reason of, inter alia, infancy, mental disease, or defect pursuant to CPL 60.20(2), the Supreme Court erred in allowing [the witness] to testify or be questioned by counsel”).</w:t>
      </w:r>
    </w:p>
    <w:p w14:paraId="7897C32D" w14:textId="77777777" w:rsidR="00074CED" w:rsidRDefault="00074CED" w:rsidP="00074CED">
      <w:pPr>
        <w:pStyle w:val="EndnoteText"/>
        <w:jc w:val="both"/>
      </w:pPr>
    </w:p>
  </w:endnote>
  <w:endnote w:id="3">
    <w:p w14:paraId="1C563DFD" w14:textId="5E72BD27" w:rsidR="00074CED" w:rsidRPr="00686DCD" w:rsidRDefault="00074CED" w:rsidP="00686DCD">
      <w:pPr>
        <w:jc w:val="both"/>
        <w:rPr>
          <w:rFonts w:ascii="Arial" w:hAnsi="Arial" w:cs="Arial"/>
        </w:rPr>
      </w:pPr>
      <w:r>
        <w:rPr>
          <w:rStyle w:val="EndnoteReference"/>
        </w:rPr>
        <w:endnoteRef/>
      </w:r>
      <w:r w:rsidR="00686DCD">
        <w:t xml:space="preserve"> </w:t>
      </w:r>
      <w:r w:rsidR="00686DCD" w:rsidRPr="00EF4F23">
        <w:rPr>
          <w:rFonts w:ascii="Arial" w:hAnsi="Arial" w:cs="Arial"/>
        </w:rPr>
        <w:t xml:space="preserve">See CPL 60.20(3); </w:t>
      </w:r>
      <w:r w:rsidR="00686DCD" w:rsidRPr="00EF4F23">
        <w:rPr>
          <w:rFonts w:ascii="Arial" w:hAnsi="Arial" w:cs="Arial"/>
          <w:i/>
          <w:iCs/>
        </w:rPr>
        <w:t>People v. Groff</w:t>
      </w:r>
      <w:r w:rsidR="00686DCD" w:rsidRPr="00EF4F23">
        <w:rPr>
          <w:rFonts w:ascii="Arial" w:hAnsi="Arial" w:cs="Arial"/>
        </w:rPr>
        <w:t>, 71 N.Y.2d 101, 108 (1987).</w:t>
      </w:r>
      <w:r w:rsidR="00686DCD" w:rsidRPr="009C4A25">
        <w:rPr>
          <w:rFonts w:ascii="Arial" w:hAnsi="Arial" w:cs="Arial"/>
          <w:sz w:val="28"/>
          <w:szCs w:val="28"/>
        </w:rPr>
        <w:t xml:space="preserve">  </w:t>
      </w:r>
    </w:p>
  </w:endnote>
  <w:endnote w:id="4">
    <w:p w14:paraId="38CBA615" w14:textId="38AFBBC0" w:rsidR="00686DCD" w:rsidRDefault="00686DCD" w:rsidP="00614894">
      <w:pPr>
        <w:pStyle w:val="EndnoteText"/>
        <w:jc w:val="both"/>
      </w:pPr>
      <w:r>
        <w:rPr>
          <w:rStyle w:val="EndnoteReference"/>
        </w:rPr>
        <w:endnoteRef/>
      </w:r>
      <w:r>
        <w:t xml:space="preserve"> </w:t>
      </w:r>
      <w:r w:rsidRPr="00074CED">
        <w:rPr>
          <w:rFonts w:ascii="Arial" w:hAnsi="Arial" w:cs="Arial"/>
          <w:i/>
          <w:iCs/>
          <w:sz w:val="22"/>
          <w:szCs w:val="22"/>
        </w:rPr>
        <w:t>People v. Lane</w:t>
      </w:r>
      <w:r w:rsidRPr="00074CED">
        <w:rPr>
          <w:rFonts w:ascii="Arial" w:hAnsi="Arial" w:cs="Arial"/>
          <w:sz w:val="22"/>
          <w:szCs w:val="22"/>
        </w:rPr>
        <w:t xml:space="preserve">, 160 AD3d 1363, 1364 [4th Dept 2018] (“although ‘prompt outcry evidence alone may not suffice to corroborate the testimony of an unsworn witness, it may be considered by the [factfinder] on the issue of corroboration under CPL 60.20’ where, as here, there is other corroborative evidence,” citing </w:t>
      </w:r>
      <w:r w:rsidRPr="00074CED">
        <w:rPr>
          <w:rFonts w:ascii="Arial" w:hAnsi="Arial" w:cs="Arial"/>
          <w:i/>
          <w:iCs/>
          <w:sz w:val="22"/>
          <w:szCs w:val="22"/>
        </w:rPr>
        <w:t>People v. Cordero</w:t>
      </w:r>
      <w:r w:rsidRPr="00074CED">
        <w:rPr>
          <w:rFonts w:ascii="Arial" w:hAnsi="Arial" w:cs="Arial"/>
          <w:sz w:val="22"/>
          <w:szCs w:val="22"/>
        </w:rPr>
        <w:t xml:space="preserve">, 257 A.D.2d 372, 377 (1st Dept. 1999).  </w:t>
      </w:r>
      <w:r w:rsidRPr="00074CED">
        <w:rPr>
          <w:rFonts w:ascii="Arial" w:hAnsi="Arial" w:cs="Arial"/>
          <w:i/>
          <w:iCs/>
          <w:sz w:val="22"/>
          <w:szCs w:val="22"/>
        </w:rPr>
        <w:t>See also</w:t>
      </w:r>
      <w:r w:rsidRPr="00074CED">
        <w:rPr>
          <w:rFonts w:ascii="Arial" w:hAnsi="Arial" w:cs="Arial"/>
          <w:sz w:val="22"/>
          <w:szCs w:val="22"/>
        </w:rPr>
        <w:t xml:space="preserve"> </w:t>
      </w:r>
      <w:r w:rsidRPr="00074CED">
        <w:rPr>
          <w:rFonts w:ascii="Arial" w:hAnsi="Arial" w:cs="Arial"/>
          <w:i/>
          <w:iCs/>
          <w:sz w:val="22"/>
          <w:szCs w:val="22"/>
        </w:rPr>
        <w:t>People v. Badia</w:t>
      </w:r>
      <w:r w:rsidRPr="00074CED">
        <w:rPr>
          <w:rFonts w:ascii="Arial" w:hAnsi="Arial" w:cs="Arial"/>
          <w:sz w:val="22"/>
          <w:szCs w:val="22"/>
        </w:rPr>
        <w:t>, 163 A.D.2d 4, 7 (1st Dept. 1990) (“The repetition of the complainant's account of the incident to her mother, her father, the police and a doctor similarly do not possess the “independence” required of corroborative evidence”).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0256" w14:textId="77777777" w:rsidR="00794DD4" w:rsidRDefault="00794DD4" w:rsidP="009C4A25">
      <w:pPr>
        <w:spacing w:after="0" w:line="240" w:lineRule="auto"/>
      </w:pPr>
      <w:r>
        <w:separator/>
      </w:r>
    </w:p>
  </w:footnote>
  <w:footnote w:type="continuationSeparator" w:id="0">
    <w:p w14:paraId="3D83332B" w14:textId="77777777" w:rsidR="00794DD4" w:rsidRDefault="00794DD4" w:rsidP="009C4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25"/>
    <w:rsid w:val="00045AB8"/>
    <w:rsid w:val="00074CED"/>
    <w:rsid w:val="001030C4"/>
    <w:rsid w:val="00117273"/>
    <w:rsid w:val="00191B27"/>
    <w:rsid w:val="002015AB"/>
    <w:rsid w:val="002046A8"/>
    <w:rsid w:val="002633D8"/>
    <w:rsid w:val="00395DF3"/>
    <w:rsid w:val="003C632F"/>
    <w:rsid w:val="004220EE"/>
    <w:rsid w:val="00482945"/>
    <w:rsid w:val="004E0A7D"/>
    <w:rsid w:val="0050750B"/>
    <w:rsid w:val="00517ED6"/>
    <w:rsid w:val="00545187"/>
    <w:rsid w:val="005A06F2"/>
    <w:rsid w:val="005B3311"/>
    <w:rsid w:val="005C6597"/>
    <w:rsid w:val="00614894"/>
    <w:rsid w:val="006345C9"/>
    <w:rsid w:val="00686DCD"/>
    <w:rsid w:val="00696BBD"/>
    <w:rsid w:val="006C05B2"/>
    <w:rsid w:val="006F7E54"/>
    <w:rsid w:val="0070016D"/>
    <w:rsid w:val="00707A14"/>
    <w:rsid w:val="00707E4E"/>
    <w:rsid w:val="00711C2A"/>
    <w:rsid w:val="00715325"/>
    <w:rsid w:val="00722647"/>
    <w:rsid w:val="00732BE6"/>
    <w:rsid w:val="00794DD4"/>
    <w:rsid w:val="0082329C"/>
    <w:rsid w:val="008A4D9E"/>
    <w:rsid w:val="008E3ED8"/>
    <w:rsid w:val="008E3F2F"/>
    <w:rsid w:val="00983DD5"/>
    <w:rsid w:val="009C4A25"/>
    <w:rsid w:val="009E5E32"/>
    <w:rsid w:val="00A42CFA"/>
    <w:rsid w:val="00B06F14"/>
    <w:rsid w:val="00B539BD"/>
    <w:rsid w:val="00B86B28"/>
    <w:rsid w:val="00BC42D9"/>
    <w:rsid w:val="00C5673B"/>
    <w:rsid w:val="00CA3DAD"/>
    <w:rsid w:val="00CB286C"/>
    <w:rsid w:val="00CF4ED8"/>
    <w:rsid w:val="00D1393F"/>
    <w:rsid w:val="00D57972"/>
    <w:rsid w:val="00D72E34"/>
    <w:rsid w:val="00DB2A5A"/>
    <w:rsid w:val="00E73530"/>
    <w:rsid w:val="00E80ADD"/>
    <w:rsid w:val="00EA2223"/>
    <w:rsid w:val="00EB1D7C"/>
    <w:rsid w:val="00EF4F23"/>
    <w:rsid w:val="00EF68D3"/>
    <w:rsid w:val="00F00D63"/>
    <w:rsid w:val="00F45A83"/>
    <w:rsid w:val="00FC7A67"/>
    <w:rsid w:val="00FD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45DD"/>
  <w15:chartTrackingRefBased/>
  <w15:docId w15:val="{8E67C26B-9EC7-442F-A740-120D1766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A25"/>
    <w:rPr>
      <w:sz w:val="20"/>
      <w:szCs w:val="20"/>
    </w:rPr>
  </w:style>
  <w:style w:type="character" w:styleId="FootnoteReference">
    <w:name w:val="footnote reference"/>
    <w:basedOn w:val="DefaultParagraphFont"/>
    <w:uiPriority w:val="99"/>
    <w:semiHidden/>
    <w:unhideWhenUsed/>
    <w:rsid w:val="009C4A25"/>
    <w:rPr>
      <w:vertAlign w:val="superscript"/>
    </w:rPr>
  </w:style>
  <w:style w:type="paragraph" w:styleId="EndnoteText">
    <w:name w:val="endnote text"/>
    <w:basedOn w:val="Normal"/>
    <w:link w:val="EndnoteTextChar"/>
    <w:uiPriority w:val="99"/>
    <w:semiHidden/>
    <w:unhideWhenUsed/>
    <w:rsid w:val="007226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647"/>
    <w:rPr>
      <w:sz w:val="20"/>
      <w:szCs w:val="20"/>
    </w:rPr>
  </w:style>
  <w:style w:type="character" w:styleId="EndnoteReference">
    <w:name w:val="endnote reference"/>
    <w:basedOn w:val="DefaultParagraphFont"/>
    <w:uiPriority w:val="99"/>
    <w:semiHidden/>
    <w:unhideWhenUsed/>
    <w:rsid w:val="00722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733">
      <w:bodyDiv w:val="1"/>
      <w:marLeft w:val="0"/>
      <w:marRight w:val="0"/>
      <w:marTop w:val="0"/>
      <w:marBottom w:val="0"/>
      <w:divBdr>
        <w:top w:val="none" w:sz="0" w:space="0" w:color="auto"/>
        <w:left w:val="none" w:sz="0" w:space="0" w:color="auto"/>
        <w:bottom w:val="none" w:sz="0" w:space="0" w:color="auto"/>
        <w:right w:val="none" w:sz="0" w:space="0" w:color="auto"/>
      </w:divBdr>
    </w:div>
    <w:div w:id="132987067">
      <w:bodyDiv w:val="1"/>
      <w:marLeft w:val="0"/>
      <w:marRight w:val="0"/>
      <w:marTop w:val="0"/>
      <w:marBottom w:val="0"/>
      <w:divBdr>
        <w:top w:val="none" w:sz="0" w:space="0" w:color="auto"/>
        <w:left w:val="none" w:sz="0" w:space="0" w:color="auto"/>
        <w:bottom w:val="none" w:sz="0" w:space="0" w:color="auto"/>
        <w:right w:val="none" w:sz="0" w:space="0" w:color="auto"/>
      </w:divBdr>
    </w:div>
    <w:div w:id="1769158765">
      <w:bodyDiv w:val="1"/>
      <w:marLeft w:val="0"/>
      <w:marRight w:val="0"/>
      <w:marTop w:val="0"/>
      <w:marBottom w:val="0"/>
      <w:divBdr>
        <w:top w:val="none" w:sz="0" w:space="0" w:color="auto"/>
        <w:left w:val="none" w:sz="0" w:space="0" w:color="auto"/>
        <w:bottom w:val="none" w:sz="0" w:space="0" w:color="auto"/>
        <w:right w:val="none" w:sz="0" w:space="0" w:color="auto"/>
      </w:divBdr>
      <w:divsChild>
        <w:div w:id="2085181756">
          <w:marLeft w:val="0"/>
          <w:marRight w:val="0"/>
          <w:marTop w:val="0"/>
          <w:marBottom w:val="0"/>
          <w:divBdr>
            <w:top w:val="none" w:sz="0" w:space="0" w:color="auto"/>
            <w:left w:val="none" w:sz="0" w:space="0" w:color="auto"/>
            <w:bottom w:val="none" w:sz="0" w:space="0" w:color="auto"/>
            <w:right w:val="none" w:sz="0" w:space="0" w:color="auto"/>
          </w:divBdr>
          <w:divsChild>
            <w:div w:id="530387245">
              <w:marLeft w:val="0"/>
              <w:marRight w:val="0"/>
              <w:marTop w:val="0"/>
              <w:marBottom w:val="0"/>
              <w:divBdr>
                <w:top w:val="none" w:sz="0" w:space="0" w:color="auto"/>
                <w:left w:val="none" w:sz="0" w:space="0" w:color="auto"/>
                <w:bottom w:val="none" w:sz="0" w:space="0" w:color="auto"/>
                <w:right w:val="none" w:sz="0" w:space="0" w:color="auto"/>
              </w:divBdr>
              <w:divsChild>
                <w:div w:id="961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A5A5F115699347A7F2FB1ED10FCB3E" ma:contentTypeVersion="13" ma:contentTypeDescription="Create a new document." ma:contentTypeScope="" ma:versionID="2019413a6a3c310de5bda00d874950cb">
  <xsd:schema xmlns:xsd="http://www.w3.org/2001/XMLSchema" xmlns:xs="http://www.w3.org/2001/XMLSchema" xmlns:p="http://schemas.microsoft.com/office/2006/metadata/properties" xmlns:ns1="http://schemas.microsoft.com/sharepoint/v3" xmlns:ns3="570a3d8e-1289-4d00-9824-ef7ac9331d49" xmlns:ns4="870f8da0-fdc9-4553-8141-551a46ee38df" targetNamespace="http://schemas.microsoft.com/office/2006/metadata/properties" ma:root="true" ma:fieldsID="4ad08b902307645f3ca985891f50f963" ns1:_="" ns3:_="" ns4:_="">
    <xsd:import namespace="http://schemas.microsoft.com/sharepoint/v3"/>
    <xsd:import namespace="570a3d8e-1289-4d00-9824-ef7ac9331d49"/>
    <xsd:import namespace="870f8da0-fdc9-4553-8141-551a46ee38d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a3d8e-1289-4d00-9824-ef7ac9331d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f8da0-fdc9-4553-8141-551a46ee38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CA5AB23A-CCCD-4864-94D6-66D865F68F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11DFBC-0C96-4B3F-B06F-766A0CDB190E}">
  <ds:schemaRefs>
    <ds:schemaRef ds:uri="http://schemas.microsoft.com/sharepoint/v3/contenttype/forms"/>
  </ds:schemaRefs>
</ds:datastoreItem>
</file>

<file path=customXml/itemProps3.xml><?xml version="1.0" encoding="utf-8"?>
<ds:datastoreItem xmlns:ds="http://schemas.openxmlformats.org/officeDocument/2006/customXml" ds:itemID="{DDF3BF6E-D626-4DAF-B588-C17ACCF43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0a3d8e-1289-4d00-9824-ef7ac9331d49"/>
    <ds:schemaRef ds:uri="870f8da0-fdc9-4553-8141-551a46ee3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39DD19-CD01-4400-AD59-661BE215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MARTIN MARCUS</dc:creator>
  <cp:keywords/>
  <dc:description/>
  <cp:lastModifiedBy>Bill Donnino</cp:lastModifiedBy>
  <cp:revision>33</cp:revision>
  <dcterms:created xsi:type="dcterms:W3CDTF">2022-04-07T22:06:00Z</dcterms:created>
  <dcterms:modified xsi:type="dcterms:W3CDTF">2022-04-29T18:38:00Z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0x0101009DA5A5F115699347A7F2FB1ED10FCB3E</vt:lpwstr>
  </property>
</Properties>
</file>